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65" w:type="dxa"/>
        <w:tblLook w:val="04A0" w:firstRow="1" w:lastRow="0" w:firstColumn="1" w:lastColumn="0" w:noHBand="0" w:noVBand="1"/>
      </w:tblPr>
      <w:tblGrid>
        <w:gridCol w:w="1214"/>
        <w:gridCol w:w="2741"/>
        <w:gridCol w:w="10710"/>
      </w:tblGrid>
      <w:tr w:rsidR="00B07610" w14:paraId="68168C45" w14:textId="77777777" w:rsidTr="0045662D">
        <w:tc>
          <w:tcPr>
            <w:tcW w:w="1214" w:type="dxa"/>
          </w:tcPr>
          <w:p w14:paraId="047332D1" w14:textId="77777777" w:rsidR="00B07610" w:rsidRPr="00B07610" w:rsidRDefault="00B07610">
            <w:pPr>
              <w:rPr>
                <w:b/>
                <w:sz w:val="28"/>
                <w:szCs w:val="28"/>
              </w:rPr>
            </w:pPr>
            <w:r w:rsidRPr="00B07610">
              <w:rPr>
                <w:b/>
                <w:sz w:val="28"/>
                <w:szCs w:val="28"/>
              </w:rPr>
              <w:t>Program</w:t>
            </w:r>
          </w:p>
        </w:tc>
        <w:tc>
          <w:tcPr>
            <w:tcW w:w="2741" w:type="dxa"/>
          </w:tcPr>
          <w:p w14:paraId="5271298E" w14:textId="77777777" w:rsidR="00B07610" w:rsidRPr="00B07610" w:rsidRDefault="00B07610">
            <w:pPr>
              <w:rPr>
                <w:b/>
                <w:sz w:val="28"/>
                <w:szCs w:val="28"/>
              </w:rPr>
            </w:pPr>
            <w:r w:rsidRPr="00B07610">
              <w:rPr>
                <w:b/>
                <w:sz w:val="28"/>
                <w:szCs w:val="28"/>
              </w:rPr>
              <w:t>Accreditation Agency</w:t>
            </w:r>
          </w:p>
        </w:tc>
        <w:tc>
          <w:tcPr>
            <w:tcW w:w="10710" w:type="dxa"/>
          </w:tcPr>
          <w:p w14:paraId="5A541E2D" w14:textId="77777777" w:rsidR="00B07610" w:rsidRPr="00B07610" w:rsidRDefault="00B07610">
            <w:pPr>
              <w:rPr>
                <w:b/>
                <w:sz w:val="28"/>
                <w:szCs w:val="28"/>
              </w:rPr>
            </w:pPr>
            <w:r w:rsidRPr="00B07610">
              <w:rPr>
                <w:b/>
                <w:sz w:val="28"/>
                <w:szCs w:val="28"/>
              </w:rPr>
              <w:t>Standard for Select Admissions</w:t>
            </w:r>
          </w:p>
        </w:tc>
      </w:tr>
      <w:tr w:rsidR="00B07610" w:rsidRPr="00B07610" w14:paraId="6DD9F9D3" w14:textId="77777777" w:rsidTr="0045662D">
        <w:tc>
          <w:tcPr>
            <w:tcW w:w="1214" w:type="dxa"/>
          </w:tcPr>
          <w:p w14:paraId="441030CC" w14:textId="77777777" w:rsidR="00B07610" w:rsidRPr="00B07610" w:rsidRDefault="00B07610">
            <w:pPr>
              <w:rPr>
                <w:sz w:val="24"/>
                <w:szCs w:val="24"/>
              </w:rPr>
            </w:pPr>
            <w:r>
              <w:rPr>
                <w:sz w:val="24"/>
                <w:szCs w:val="24"/>
              </w:rPr>
              <w:t>DENT</w:t>
            </w:r>
            <w:r w:rsidR="0045662D">
              <w:rPr>
                <w:sz w:val="24"/>
                <w:szCs w:val="24"/>
              </w:rPr>
              <w:t xml:space="preserve"> (CO/CA)</w:t>
            </w:r>
          </w:p>
        </w:tc>
        <w:tc>
          <w:tcPr>
            <w:tcW w:w="2741" w:type="dxa"/>
          </w:tcPr>
          <w:p w14:paraId="3C2CD402" w14:textId="77777777" w:rsidR="00B07610" w:rsidRPr="00B07610" w:rsidRDefault="009D4422">
            <w:pPr>
              <w:rPr>
                <w:sz w:val="24"/>
                <w:szCs w:val="24"/>
              </w:rPr>
            </w:pPr>
            <w:hyperlink r:id="rId8" w:history="1">
              <w:r w:rsidR="00B07610" w:rsidRPr="009D4422">
                <w:rPr>
                  <w:rStyle w:val="Hyperlink"/>
                  <w:sz w:val="24"/>
                  <w:szCs w:val="24"/>
                </w:rPr>
                <w:t>Commission on Dental Accreditation (CODA)</w:t>
              </w:r>
            </w:hyperlink>
          </w:p>
        </w:tc>
        <w:tc>
          <w:tcPr>
            <w:tcW w:w="10710" w:type="dxa"/>
          </w:tcPr>
          <w:p w14:paraId="1ECE18A9" w14:textId="77777777" w:rsidR="006E0412" w:rsidRPr="006E0412" w:rsidRDefault="006E0412" w:rsidP="006E0412">
            <w:pPr>
              <w:pStyle w:val="Default"/>
              <w:rPr>
                <w:rFonts w:asciiTheme="minorHAnsi" w:hAnsiTheme="minorHAnsi"/>
                <w:color w:val="auto"/>
              </w:rPr>
            </w:pPr>
            <w:r w:rsidRPr="006E0412">
              <w:rPr>
                <w:rFonts w:asciiTheme="minorHAnsi" w:hAnsiTheme="minorHAnsi"/>
                <w:bCs/>
                <w:color w:val="auto"/>
              </w:rPr>
              <w:t xml:space="preserve">STANDARD 2 – EDUCATIONAL PROGRAM Admissions </w:t>
            </w:r>
          </w:p>
          <w:p w14:paraId="6394CD41" w14:textId="77777777" w:rsidR="006E0412" w:rsidRDefault="006E0412" w:rsidP="006E0412">
            <w:pPr>
              <w:pStyle w:val="Default"/>
              <w:rPr>
                <w:rFonts w:asciiTheme="minorHAnsi" w:hAnsiTheme="minorHAnsi"/>
                <w:bCs/>
                <w:color w:val="auto"/>
              </w:rPr>
            </w:pPr>
            <w:r w:rsidRPr="006E0412">
              <w:rPr>
                <w:rFonts w:asciiTheme="minorHAnsi" w:hAnsiTheme="minorHAnsi"/>
                <w:bCs/>
                <w:color w:val="auto"/>
              </w:rPr>
              <w:t xml:space="preserve">2-1 Admission of students must be based on specific published criteria, procedures and policies that include a high-school diploma or its equivalent, or post- secondary degree. </w:t>
            </w:r>
          </w:p>
          <w:p w14:paraId="5E9329DA" w14:textId="77777777" w:rsidR="006E0412" w:rsidRPr="006E0412" w:rsidRDefault="006E0412" w:rsidP="006E0412">
            <w:pPr>
              <w:pStyle w:val="Default"/>
              <w:rPr>
                <w:rFonts w:asciiTheme="minorHAnsi" w:hAnsiTheme="minorHAnsi"/>
                <w:bCs/>
                <w:color w:val="auto"/>
              </w:rPr>
            </w:pPr>
            <w:r w:rsidRPr="006E0412">
              <w:rPr>
                <w:rFonts w:asciiTheme="minorHAnsi" w:hAnsiTheme="minorHAnsi"/>
                <w:bCs/>
                <w:color w:val="auto"/>
              </w:rPr>
              <w:t xml:space="preserve">Examples of evidence to demonstrate compliance may include: </w:t>
            </w:r>
          </w:p>
          <w:p w14:paraId="4EB977F8" w14:textId="77777777" w:rsidR="006E0412" w:rsidRPr="006E0412" w:rsidRDefault="006E0412" w:rsidP="006E0412">
            <w:pPr>
              <w:pStyle w:val="Default"/>
              <w:rPr>
                <w:rFonts w:asciiTheme="minorHAnsi" w:hAnsiTheme="minorHAnsi"/>
                <w:color w:val="auto"/>
              </w:rPr>
            </w:pPr>
            <w:r w:rsidRPr="006E0412">
              <w:rPr>
                <w:rFonts w:asciiTheme="minorHAnsi" w:hAnsiTheme="minorHAnsi"/>
                <w:color w:val="auto"/>
              </w:rPr>
              <w:t xml:space="preserve"> Previous college academic performance and/or performance on standardized national scholastic tests are utilized for criteria in selecting students. </w:t>
            </w:r>
          </w:p>
          <w:p w14:paraId="3C3C54E3" w14:textId="77777777" w:rsidR="006E0412" w:rsidRPr="006E0412" w:rsidRDefault="006E0412" w:rsidP="006E0412">
            <w:pPr>
              <w:pStyle w:val="Default"/>
              <w:rPr>
                <w:rFonts w:asciiTheme="minorHAnsi" w:hAnsiTheme="minorHAnsi"/>
                <w:color w:val="auto"/>
              </w:rPr>
            </w:pPr>
            <w:r w:rsidRPr="006E0412">
              <w:rPr>
                <w:rFonts w:asciiTheme="minorHAnsi" w:hAnsiTheme="minorHAnsi"/>
                <w:color w:val="auto"/>
              </w:rPr>
              <w:t xml:space="preserve"> Cumulative grade point averages in previous education with particular attention given to grades in science subjects </w:t>
            </w:r>
          </w:p>
          <w:p w14:paraId="7191629A" w14:textId="77777777" w:rsidR="006E0412" w:rsidRPr="006E0412" w:rsidRDefault="006E0412" w:rsidP="006E0412">
            <w:pPr>
              <w:pStyle w:val="Default"/>
              <w:rPr>
                <w:rFonts w:asciiTheme="minorHAnsi" w:hAnsiTheme="minorHAnsi"/>
                <w:color w:val="auto"/>
              </w:rPr>
            </w:pPr>
            <w:r w:rsidRPr="006E0412">
              <w:rPr>
                <w:rFonts w:asciiTheme="minorHAnsi" w:hAnsiTheme="minorHAnsi"/>
                <w:color w:val="auto"/>
              </w:rPr>
              <w:t xml:space="preserve"> If academic strengthening is needed to meet basic admission criteria or to proceed satisfactorily through the curriculum, the institution and program should have the resources necessary to assist students. </w:t>
            </w:r>
          </w:p>
          <w:p w14:paraId="71809B7D" w14:textId="77777777" w:rsidR="00B07610" w:rsidRPr="00B07610" w:rsidRDefault="006E0412" w:rsidP="006E0412">
            <w:pPr>
              <w:pStyle w:val="Default"/>
            </w:pPr>
            <w:r w:rsidRPr="006E0412">
              <w:rPr>
                <w:rFonts w:asciiTheme="minorHAnsi" w:hAnsiTheme="minorHAnsi"/>
                <w:color w:val="auto"/>
              </w:rPr>
              <w:t> Academic strengthening occurs prior to entry into the program courses.</w:t>
            </w:r>
            <w:r>
              <w:rPr>
                <w:color w:val="auto"/>
                <w:sz w:val="23"/>
                <w:szCs w:val="23"/>
              </w:rPr>
              <w:t xml:space="preserve"> </w:t>
            </w:r>
          </w:p>
        </w:tc>
      </w:tr>
      <w:tr w:rsidR="009D4422" w:rsidRPr="00B07610" w14:paraId="08926B51" w14:textId="77777777" w:rsidTr="0045662D">
        <w:tc>
          <w:tcPr>
            <w:tcW w:w="1214" w:type="dxa"/>
          </w:tcPr>
          <w:p w14:paraId="5E5217C0" w14:textId="77777777" w:rsidR="009D4422" w:rsidRDefault="009D4422">
            <w:pPr>
              <w:rPr>
                <w:sz w:val="24"/>
                <w:szCs w:val="24"/>
              </w:rPr>
            </w:pPr>
            <w:r>
              <w:rPr>
                <w:sz w:val="24"/>
                <w:szCs w:val="24"/>
              </w:rPr>
              <w:t>NMA</w:t>
            </w:r>
          </w:p>
        </w:tc>
        <w:tc>
          <w:tcPr>
            <w:tcW w:w="2741" w:type="dxa"/>
          </w:tcPr>
          <w:p w14:paraId="0E660395" w14:textId="77777777" w:rsidR="009D4422" w:rsidRPr="00B07610" w:rsidRDefault="009D4422" w:rsidP="00B07610">
            <w:pPr>
              <w:rPr>
                <w:bCs/>
                <w:sz w:val="24"/>
                <w:szCs w:val="24"/>
              </w:rPr>
            </w:pPr>
            <w:r>
              <w:rPr>
                <w:bCs/>
                <w:sz w:val="24"/>
                <w:szCs w:val="24"/>
              </w:rPr>
              <w:t>None</w:t>
            </w:r>
          </w:p>
        </w:tc>
        <w:tc>
          <w:tcPr>
            <w:tcW w:w="10710" w:type="dxa"/>
          </w:tcPr>
          <w:p w14:paraId="7AA43501" w14:textId="77777777" w:rsidR="009D4422" w:rsidRPr="00085B69" w:rsidRDefault="009D4422" w:rsidP="00085B69">
            <w:pPr>
              <w:pStyle w:val="Default"/>
              <w:rPr>
                <w:rFonts w:asciiTheme="minorHAnsi" w:hAnsiTheme="minorHAnsi"/>
              </w:rPr>
            </w:pPr>
            <w:r>
              <w:rPr>
                <w:rFonts w:asciiTheme="minorHAnsi" w:hAnsiTheme="minorHAnsi"/>
              </w:rPr>
              <w:t>N/a</w:t>
            </w:r>
          </w:p>
        </w:tc>
      </w:tr>
      <w:tr w:rsidR="009D4422" w:rsidRPr="00B07610" w14:paraId="230DC009" w14:textId="77777777" w:rsidTr="0045662D">
        <w:tc>
          <w:tcPr>
            <w:tcW w:w="1214" w:type="dxa"/>
          </w:tcPr>
          <w:p w14:paraId="742BB0F4" w14:textId="77777777" w:rsidR="009D4422" w:rsidRDefault="009D4422">
            <w:pPr>
              <w:rPr>
                <w:sz w:val="24"/>
                <w:szCs w:val="24"/>
              </w:rPr>
            </w:pPr>
            <w:r>
              <w:rPr>
                <w:sz w:val="24"/>
                <w:szCs w:val="24"/>
              </w:rPr>
              <w:t>Nursing</w:t>
            </w:r>
          </w:p>
        </w:tc>
        <w:tc>
          <w:tcPr>
            <w:tcW w:w="2741" w:type="dxa"/>
          </w:tcPr>
          <w:p w14:paraId="4B307920" w14:textId="77777777" w:rsidR="009D4422" w:rsidRPr="00B07610" w:rsidRDefault="009D4422" w:rsidP="00B07610">
            <w:pPr>
              <w:rPr>
                <w:bCs/>
                <w:sz w:val="24"/>
                <w:szCs w:val="24"/>
              </w:rPr>
            </w:pPr>
            <w:hyperlink r:id="rId9" w:history="1">
              <w:r w:rsidRPr="009D4422">
                <w:rPr>
                  <w:rStyle w:val="Hyperlink"/>
                  <w:bCs/>
                  <w:sz w:val="24"/>
                  <w:szCs w:val="24"/>
                </w:rPr>
                <w:t>Accreditation Commission for Education in Nursing (ACEN)</w:t>
              </w:r>
            </w:hyperlink>
          </w:p>
        </w:tc>
        <w:tc>
          <w:tcPr>
            <w:tcW w:w="10710" w:type="dxa"/>
          </w:tcPr>
          <w:p w14:paraId="1DA39D77" w14:textId="77777777" w:rsidR="009D4422" w:rsidRPr="009D4422" w:rsidRDefault="009D4422" w:rsidP="009D4422">
            <w:pPr>
              <w:pStyle w:val="Default"/>
              <w:rPr>
                <w:rFonts w:asciiTheme="minorHAnsi" w:hAnsiTheme="minorHAnsi"/>
                <w:color w:val="auto"/>
              </w:rPr>
            </w:pPr>
            <w:hyperlink r:id="rId10" w:history="1">
              <w:r w:rsidRPr="009D4422">
                <w:rPr>
                  <w:rFonts w:asciiTheme="minorHAnsi" w:hAnsiTheme="minorHAnsi"/>
                  <w:color w:val="auto"/>
                </w:rPr>
                <w:t>STANDARD 3</w:t>
              </w:r>
            </w:hyperlink>
            <w:r w:rsidRPr="009D4422">
              <w:rPr>
                <w:rFonts w:asciiTheme="minorHAnsi" w:hAnsiTheme="minorHAnsi"/>
                <w:color w:val="auto"/>
              </w:rPr>
              <w:t xml:space="preserve"> – STUDENTS: Student policies, development, and services support the goals and outcomes of the nursing education unit.</w:t>
            </w:r>
          </w:p>
          <w:p w14:paraId="28DC93BB" w14:textId="77777777" w:rsidR="009D4422" w:rsidRPr="009D4422" w:rsidRDefault="009D4422" w:rsidP="009D4422">
            <w:pPr>
              <w:pStyle w:val="Default"/>
              <w:rPr>
                <w:rFonts w:asciiTheme="minorHAnsi" w:hAnsiTheme="minorHAnsi"/>
                <w:color w:val="auto"/>
              </w:rPr>
            </w:pPr>
            <w:r w:rsidRPr="009D4422">
              <w:rPr>
                <w:rFonts w:asciiTheme="minorHAnsi" w:hAnsiTheme="minorHAnsi"/>
                <w:color w:val="auto"/>
              </w:rPr>
              <w:t>3.1 (Student policies of the nursing education unit are congruent with those of the governing organization, publicly accessible, non-discriminatory, and consistently applied; differences are justified by the goals and outcomes of the nursing education unit).</w:t>
            </w:r>
          </w:p>
          <w:p w14:paraId="311C3AEF" w14:textId="77777777" w:rsidR="009D4422" w:rsidRPr="009D4422" w:rsidRDefault="009D4422" w:rsidP="009D4422">
            <w:pPr>
              <w:pStyle w:val="Default"/>
              <w:rPr>
                <w:rFonts w:asciiTheme="minorHAnsi" w:hAnsiTheme="minorHAnsi"/>
                <w:color w:val="auto"/>
              </w:rPr>
            </w:pPr>
          </w:p>
        </w:tc>
      </w:tr>
      <w:tr w:rsidR="00B07610" w:rsidRPr="00B07610" w14:paraId="49F9972B" w14:textId="77777777" w:rsidTr="0045662D">
        <w:tc>
          <w:tcPr>
            <w:tcW w:w="1214" w:type="dxa"/>
          </w:tcPr>
          <w:p w14:paraId="618CF19C" w14:textId="77777777" w:rsidR="00B07610" w:rsidRPr="00B07610" w:rsidRDefault="00B07610">
            <w:pPr>
              <w:rPr>
                <w:sz w:val="24"/>
                <w:szCs w:val="24"/>
              </w:rPr>
            </w:pPr>
            <w:r>
              <w:rPr>
                <w:sz w:val="24"/>
                <w:szCs w:val="24"/>
              </w:rPr>
              <w:t>MEDA</w:t>
            </w:r>
          </w:p>
        </w:tc>
        <w:tc>
          <w:tcPr>
            <w:tcW w:w="2741" w:type="dxa"/>
          </w:tcPr>
          <w:p w14:paraId="771DCD6D" w14:textId="77777777" w:rsidR="00B07610" w:rsidRPr="00B07610" w:rsidRDefault="009D4422" w:rsidP="00B07610">
            <w:pPr>
              <w:rPr>
                <w:sz w:val="24"/>
                <w:szCs w:val="24"/>
              </w:rPr>
            </w:pPr>
            <w:hyperlink r:id="rId11" w:history="1">
              <w:r w:rsidR="00B07610" w:rsidRPr="009D4422">
                <w:rPr>
                  <w:rStyle w:val="Hyperlink"/>
                  <w:bCs/>
                  <w:sz w:val="24"/>
                  <w:szCs w:val="24"/>
                </w:rPr>
                <w:t>Medical Assisting Education Review Board (MAERB)</w:t>
              </w:r>
            </w:hyperlink>
          </w:p>
        </w:tc>
        <w:tc>
          <w:tcPr>
            <w:tcW w:w="10710" w:type="dxa"/>
          </w:tcPr>
          <w:p w14:paraId="4D5ED40B" w14:textId="77777777" w:rsidR="00B07610" w:rsidRPr="00B07610" w:rsidRDefault="00085B69" w:rsidP="00085B69">
            <w:pPr>
              <w:pStyle w:val="Default"/>
            </w:pPr>
            <w:r w:rsidRPr="00085B69">
              <w:rPr>
                <w:rFonts w:asciiTheme="minorHAnsi" w:hAnsiTheme="minorHAnsi"/>
              </w:rPr>
              <w:t xml:space="preserve"> </w:t>
            </w:r>
          </w:p>
        </w:tc>
      </w:tr>
      <w:tr w:rsidR="00B07610" w:rsidRPr="00B07610" w14:paraId="31666FFF" w14:textId="77777777" w:rsidTr="0045662D">
        <w:tc>
          <w:tcPr>
            <w:tcW w:w="1214" w:type="dxa"/>
          </w:tcPr>
          <w:p w14:paraId="0729190D" w14:textId="77777777" w:rsidR="00B07610" w:rsidRPr="00B07610" w:rsidRDefault="00B07610">
            <w:pPr>
              <w:rPr>
                <w:sz w:val="24"/>
                <w:szCs w:val="24"/>
              </w:rPr>
            </w:pPr>
            <w:r>
              <w:rPr>
                <w:sz w:val="24"/>
                <w:szCs w:val="24"/>
              </w:rPr>
              <w:t>MLT</w:t>
            </w:r>
          </w:p>
        </w:tc>
        <w:tc>
          <w:tcPr>
            <w:tcW w:w="2741" w:type="dxa"/>
          </w:tcPr>
          <w:p w14:paraId="4EB2C5B0" w14:textId="77777777" w:rsidR="00B07610" w:rsidRPr="006E0412" w:rsidRDefault="009D4422">
            <w:pPr>
              <w:rPr>
                <w:sz w:val="24"/>
                <w:szCs w:val="24"/>
              </w:rPr>
            </w:pPr>
            <w:hyperlink r:id="rId12" w:history="1">
              <w:r w:rsidR="006E0412" w:rsidRPr="009D4422">
                <w:rPr>
                  <w:rStyle w:val="Hyperlink"/>
                  <w:rFonts w:cs="Arial"/>
                  <w:sz w:val="24"/>
                  <w:szCs w:val="24"/>
                  <w:shd w:val="clear" w:color="auto" w:fill="FFFFFF"/>
                </w:rPr>
                <w:t>National Accrediting Agency for Clinical Laboratory Science  (NAACLS)</w:t>
              </w:r>
            </w:hyperlink>
          </w:p>
        </w:tc>
        <w:tc>
          <w:tcPr>
            <w:tcW w:w="10710" w:type="dxa"/>
          </w:tcPr>
          <w:p w14:paraId="3B56D318" w14:textId="77777777" w:rsidR="00AA4AE6" w:rsidRPr="00085B69" w:rsidRDefault="00AA4AE6" w:rsidP="00AA4AE6">
            <w:pPr>
              <w:pStyle w:val="Default"/>
              <w:rPr>
                <w:rFonts w:asciiTheme="minorHAnsi" w:hAnsiTheme="minorHAnsi"/>
              </w:rPr>
            </w:pPr>
            <w:r w:rsidRPr="00085B69">
              <w:rPr>
                <w:rFonts w:asciiTheme="minorHAnsi" w:hAnsiTheme="minorHAnsi"/>
                <w:bCs/>
              </w:rPr>
              <w:t>IV. Students</w:t>
            </w:r>
            <w:r>
              <w:rPr>
                <w:rFonts w:asciiTheme="minorHAnsi" w:hAnsiTheme="minorHAnsi"/>
                <w:bCs/>
              </w:rPr>
              <w:t xml:space="preserve"> </w:t>
            </w:r>
            <w:r w:rsidRPr="00085B69">
              <w:rPr>
                <w:rFonts w:asciiTheme="minorHAnsi" w:hAnsiTheme="minorHAnsi" w:cs="Calibri"/>
              </w:rPr>
              <w:t xml:space="preserve">A. </w:t>
            </w:r>
            <w:r w:rsidRPr="00085B69">
              <w:rPr>
                <w:rFonts w:asciiTheme="minorHAnsi" w:hAnsiTheme="minorHAnsi"/>
              </w:rPr>
              <w:t xml:space="preserve">Publications and Disclosures </w:t>
            </w:r>
            <w:r w:rsidRPr="00085B69">
              <w:rPr>
                <w:rFonts w:asciiTheme="minorHAnsi" w:hAnsiTheme="minorHAnsi" w:cs="Calibri"/>
              </w:rPr>
              <w:t xml:space="preserve">1. </w:t>
            </w:r>
            <w:r w:rsidRPr="00085B69">
              <w:rPr>
                <w:rFonts w:asciiTheme="minorHAnsi" w:hAnsiTheme="minorHAnsi"/>
              </w:rPr>
              <w:t>The following must be defined, published, and readily available to pros</w:t>
            </w:r>
            <w:r>
              <w:rPr>
                <w:rFonts w:asciiTheme="minorHAnsi" w:hAnsiTheme="minorHAnsi"/>
              </w:rPr>
              <w:t xml:space="preserve">pective and enrolled students: </w:t>
            </w:r>
          </w:p>
          <w:p w14:paraId="0CED179D" w14:textId="77777777" w:rsidR="00AA4AE6" w:rsidRDefault="00AA4AE6" w:rsidP="00AA4AE6">
            <w:pPr>
              <w:autoSpaceDE w:val="0"/>
              <w:autoSpaceDN w:val="0"/>
              <w:adjustRightInd w:val="0"/>
              <w:rPr>
                <w:rFonts w:cs="Arial"/>
                <w:color w:val="000000"/>
                <w:sz w:val="24"/>
                <w:szCs w:val="24"/>
              </w:rPr>
            </w:pPr>
            <w:r w:rsidRPr="002C532E">
              <w:rPr>
                <w:rFonts w:cs="Calibri"/>
                <w:color w:val="000000"/>
                <w:sz w:val="24"/>
                <w:szCs w:val="24"/>
              </w:rPr>
              <w:t xml:space="preserve">f. </w:t>
            </w:r>
            <w:r w:rsidRPr="002C532E">
              <w:rPr>
                <w:rFonts w:cs="Arial"/>
                <w:color w:val="000000"/>
                <w:sz w:val="24"/>
                <w:szCs w:val="24"/>
              </w:rPr>
              <w:t xml:space="preserve">admission criteria, including essentials functions, advance placement, transfer of credits and credits for experiential learning; </w:t>
            </w:r>
          </w:p>
          <w:p w14:paraId="7EAF97FB" w14:textId="77777777" w:rsidR="00B07610" w:rsidRPr="00B07610" w:rsidRDefault="00AA4AE6" w:rsidP="00AA4AE6">
            <w:pPr>
              <w:rPr>
                <w:sz w:val="24"/>
                <w:szCs w:val="24"/>
              </w:rPr>
            </w:pPr>
            <w:r w:rsidRPr="00085B69">
              <w:rPr>
                <w:bCs/>
                <w:sz w:val="24"/>
                <w:szCs w:val="24"/>
              </w:rPr>
              <w:t xml:space="preserve">V. Operational Policies </w:t>
            </w:r>
            <w:r w:rsidRPr="00085B69">
              <w:rPr>
                <w:sz w:val="24"/>
                <w:szCs w:val="24"/>
              </w:rPr>
              <w:t xml:space="preserve">Fair Practices </w:t>
            </w:r>
            <w:r w:rsidRPr="00085B69">
              <w:rPr>
                <w:rFonts w:cs="Calibri"/>
                <w:sz w:val="24"/>
                <w:szCs w:val="24"/>
              </w:rPr>
              <w:t xml:space="preserve">A. </w:t>
            </w:r>
            <w:r w:rsidRPr="00085B69">
              <w:rPr>
                <w:sz w:val="24"/>
                <w:szCs w:val="24"/>
              </w:rPr>
              <w:t>Student recruitment and admission must be nondiscriminatory in accordance with existing governmental regulations and those of the sponsor.</w:t>
            </w:r>
          </w:p>
        </w:tc>
      </w:tr>
      <w:tr w:rsidR="00B07610" w:rsidRPr="00B07610" w14:paraId="3737B34B" w14:textId="77777777" w:rsidTr="0045662D">
        <w:tc>
          <w:tcPr>
            <w:tcW w:w="1214" w:type="dxa"/>
          </w:tcPr>
          <w:p w14:paraId="41E34E32" w14:textId="77777777" w:rsidR="00B07610" w:rsidRPr="00B07610" w:rsidRDefault="00B07610">
            <w:pPr>
              <w:rPr>
                <w:sz w:val="24"/>
                <w:szCs w:val="24"/>
              </w:rPr>
            </w:pPr>
            <w:r>
              <w:rPr>
                <w:sz w:val="24"/>
                <w:szCs w:val="24"/>
              </w:rPr>
              <w:t>OTA</w:t>
            </w:r>
          </w:p>
        </w:tc>
        <w:tc>
          <w:tcPr>
            <w:tcW w:w="2741" w:type="dxa"/>
          </w:tcPr>
          <w:p w14:paraId="483BB5B8" w14:textId="77777777" w:rsidR="00B07610" w:rsidRPr="00B07610" w:rsidRDefault="009D4422" w:rsidP="0045662D">
            <w:pPr>
              <w:rPr>
                <w:sz w:val="24"/>
                <w:szCs w:val="24"/>
              </w:rPr>
            </w:pPr>
            <w:hyperlink r:id="rId13" w:history="1">
              <w:r w:rsidR="0045662D" w:rsidRPr="009D4422">
                <w:rPr>
                  <w:rStyle w:val="Hyperlink"/>
                  <w:bCs/>
                  <w:sz w:val="24"/>
                  <w:szCs w:val="24"/>
                </w:rPr>
                <w:t>Accreditation Council for Occupational Therapy Education</w:t>
              </w:r>
              <w:r w:rsidR="0045662D" w:rsidRPr="009D4422">
                <w:rPr>
                  <w:rStyle w:val="Hyperlink"/>
                  <w:b/>
                  <w:bCs/>
                  <w:sz w:val="23"/>
                  <w:szCs w:val="23"/>
                </w:rPr>
                <w:t xml:space="preserve"> </w:t>
              </w:r>
              <w:r w:rsidR="0045662D" w:rsidRPr="009D4422">
                <w:rPr>
                  <w:rStyle w:val="Hyperlink"/>
                  <w:sz w:val="24"/>
                  <w:szCs w:val="24"/>
                </w:rPr>
                <w:t>(ACOTE</w:t>
              </w:r>
            </w:hyperlink>
            <w:r w:rsidR="0045662D">
              <w:rPr>
                <w:sz w:val="24"/>
                <w:szCs w:val="24"/>
              </w:rPr>
              <w:t>)</w:t>
            </w:r>
          </w:p>
        </w:tc>
        <w:tc>
          <w:tcPr>
            <w:tcW w:w="10710" w:type="dxa"/>
          </w:tcPr>
          <w:p w14:paraId="35B740B7" w14:textId="77777777" w:rsidR="00901BD2" w:rsidRPr="00901BD2" w:rsidRDefault="00901BD2" w:rsidP="00901BD2">
            <w:pPr>
              <w:rPr>
                <w:sz w:val="24"/>
                <w:szCs w:val="24"/>
              </w:rPr>
            </w:pPr>
            <w:proofErr w:type="spellStart"/>
            <w:r>
              <w:rPr>
                <w:sz w:val="24"/>
                <w:szCs w:val="24"/>
              </w:rPr>
              <w:t>A.</w:t>
            </w:r>
            <w:r w:rsidRPr="00901BD2">
              <w:rPr>
                <w:sz w:val="24"/>
                <w:szCs w:val="24"/>
              </w:rPr>
              <w:t>Students</w:t>
            </w:r>
            <w:proofErr w:type="spellEnd"/>
            <w:r w:rsidRPr="00901BD2">
              <w:rPr>
                <w:sz w:val="24"/>
                <w:szCs w:val="24"/>
              </w:rPr>
              <w:t xml:space="preserve"> </w:t>
            </w:r>
            <w:r w:rsidR="00AA4AE6" w:rsidRPr="00901BD2">
              <w:rPr>
                <w:sz w:val="24"/>
                <w:szCs w:val="24"/>
              </w:rPr>
              <w:t>3.1</w:t>
            </w:r>
            <w:r w:rsidRPr="00901BD2">
              <w:rPr>
                <w:sz w:val="24"/>
                <w:szCs w:val="24"/>
              </w:rPr>
              <w:t xml:space="preserve">  </w:t>
            </w:r>
          </w:p>
          <w:p w14:paraId="523A8366" w14:textId="77777777" w:rsidR="00901BD2" w:rsidRDefault="00901BD2" w:rsidP="00901BD2">
            <w:pPr>
              <w:pStyle w:val="Default"/>
              <w:rPr>
                <w:rFonts w:asciiTheme="minorHAnsi" w:hAnsiTheme="minorHAnsi"/>
              </w:rPr>
            </w:pPr>
            <w:r w:rsidRPr="00901BD2">
              <w:rPr>
                <w:rFonts w:asciiTheme="minorHAnsi" w:hAnsiTheme="minorHAnsi"/>
              </w:rPr>
              <w:t xml:space="preserve">Admission of students to the occupational therapy assistant program must be made in accordance with the practices of the institution. There must be stated admission criteria that are clearly defined and published and reflective of the demands of the program. </w:t>
            </w:r>
          </w:p>
          <w:p w14:paraId="29CFAE82" w14:textId="77777777" w:rsidR="00901BD2" w:rsidRPr="00901BD2" w:rsidRDefault="00901BD2" w:rsidP="00901BD2">
            <w:pPr>
              <w:pStyle w:val="Default"/>
              <w:rPr>
                <w:rFonts w:asciiTheme="minorHAnsi" w:hAnsiTheme="minorHAnsi"/>
              </w:rPr>
            </w:pPr>
            <w:r>
              <w:rPr>
                <w:rFonts w:asciiTheme="minorHAnsi" w:hAnsiTheme="minorHAnsi"/>
              </w:rPr>
              <w:t xml:space="preserve">A.3.3 </w:t>
            </w:r>
          </w:p>
          <w:p w14:paraId="1F666B86" w14:textId="77777777" w:rsidR="00B07610" w:rsidRPr="00901BD2" w:rsidRDefault="00901BD2" w:rsidP="00901BD2">
            <w:pPr>
              <w:pStyle w:val="Default"/>
            </w:pPr>
            <w:r w:rsidRPr="00901BD2">
              <w:rPr>
                <w:rFonts w:asciiTheme="minorHAnsi" w:hAnsiTheme="minorHAnsi"/>
              </w:rPr>
              <w:t xml:space="preserve">Policies pertaining to standards for admission, advanced placement, transfer of credit, credit for experiential learning (if applicable), and prerequisite educational or work experience requirements must be readily accessible to prospective students and the public. </w:t>
            </w:r>
          </w:p>
        </w:tc>
      </w:tr>
      <w:tr w:rsidR="00B07610" w:rsidRPr="00B07610" w14:paraId="452C52BC" w14:textId="77777777" w:rsidTr="0045662D">
        <w:tc>
          <w:tcPr>
            <w:tcW w:w="1214" w:type="dxa"/>
          </w:tcPr>
          <w:p w14:paraId="6EE62640" w14:textId="77777777" w:rsidR="00B07610" w:rsidRPr="00B07610" w:rsidRDefault="00B07610">
            <w:pPr>
              <w:rPr>
                <w:sz w:val="24"/>
                <w:szCs w:val="24"/>
              </w:rPr>
            </w:pPr>
            <w:r>
              <w:rPr>
                <w:sz w:val="24"/>
                <w:szCs w:val="24"/>
              </w:rPr>
              <w:lastRenderedPageBreak/>
              <w:t>PTA</w:t>
            </w:r>
          </w:p>
        </w:tc>
        <w:tc>
          <w:tcPr>
            <w:tcW w:w="2741" w:type="dxa"/>
          </w:tcPr>
          <w:p w14:paraId="0E565592" w14:textId="77777777" w:rsidR="00B07610" w:rsidRPr="00B07610" w:rsidRDefault="009D4422">
            <w:pPr>
              <w:rPr>
                <w:sz w:val="24"/>
                <w:szCs w:val="24"/>
              </w:rPr>
            </w:pPr>
            <w:hyperlink r:id="rId14" w:history="1">
              <w:r w:rsidR="0045662D" w:rsidRPr="009D4422">
                <w:rPr>
                  <w:rStyle w:val="Hyperlink"/>
                  <w:sz w:val="24"/>
                  <w:szCs w:val="24"/>
                </w:rPr>
                <w:t>Commission on Accreditation for Physical Therapy Education (CAPTE)</w:t>
              </w:r>
            </w:hyperlink>
          </w:p>
        </w:tc>
        <w:tc>
          <w:tcPr>
            <w:tcW w:w="10710" w:type="dxa"/>
          </w:tcPr>
          <w:p w14:paraId="211D804F" w14:textId="77777777" w:rsidR="003135AE" w:rsidRPr="003135AE" w:rsidRDefault="003135AE" w:rsidP="003135AE">
            <w:pPr>
              <w:pStyle w:val="crg2"/>
              <w:ind w:left="576" w:firstLine="0"/>
              <w:rPr>
                <w:rFonts w:asciiTheme="minorHAnsi" w:hAnsiTheme="minorHAnsi"/>
                <w:sz w:val="24"/>
              </w:rPr>
            </w:pPr>
            <w:r w:rsidRPr="003135AE">
              <w:rPr>
                <w:sz w:val="24"/>
              </w:rPr>
              <w:t>3D</w:t>
            </w:r>
            <w:r w:rsidRPr="001D0D27">
              <w:tab/>
            </w:r>
            <w:r w:rsidRPr="003135AE">
              <w:rPr>
                <w:sz w:val="24"/>
              </w:rPr>
              <w:t>Policies and procedures</w:t>
            </w:r>
            <w:r w:rsidRPr="003135AE">
              <w:rPr>
                <w:rStyle w:val="FootnoteReference"/>
                <w:sz w:val="24"/>
              </w:rPr>
              <w:footnoteReference w:id="1"/>
            </w:r>
            <w:r w:rsidRPr="003135AE">
              <w:rPr>
                <w:sz w:val="24"/>
              </w:rPr>
              <w:t xml:space="preserve"> exist to facilitate equal opportunity and nondiscrimination for faculty, staff and prospective/enrolled students.</w:t>
            </w:r>
            <w:r w:rsidRPr="001D0D27">
              <w:t xml:space="preserve"> </w:t>
            </w:r>
            <w:r w:rsidRPr="003135AE">
              <w:rPr>
                <w:rFonts w:asciiTheme="minorHAnsi" w:hAnsiTheme="minorHAnsi"/>
                <w:sz w:val="24"/>
              </w:rPr>
              <w:t>Evidence of Compliance:</w:t>
            </w:r>
          </w:p>
          <w:p w14:paraId="03D00802" w14:textId="77777777" w:rsidR="003135AE" w:rsidRPr="003135AE" w:rsidRDefault="003135AE" w:rsidP="003135AE">
            <w:pPr>
              <w:pStyle w:val="crg2"/>
              <w:ind w:left="0" w:firstLine="0"/>
              <w:rPr>
                <w:rFonts w:asciiTheme="minorHAnsi" w:hAnsiTheme="minorHAnsi"/>
                <w:sz w:val="24"/>
              </w:rPr>
            </w:pPr>
            <w:r w:rsidRPr="003135AE">
              <w:rPr>
                <w:rFonts w:asciiTheme="minorHAnsi" w:hAnsiTheme="minorHAnsi"/>
                <w:sz w:val="24"/>
              </w:rPr>
              <w:t>Narrative:</w:t>
            </w:r>
          </w:p>
          <w:p w14:paraId="5ECFD5C5" w14:textId="77777777" w:rsidR="003135AE" w:rsidRPr="003135AE" w:rsidRDefault="003135AE" w:rsidP="003135AE">
            <w:pPr>
              <w:pStyle w:val="crg3"/>
              <w:numPr>
                <w:ilvl w:val="0"/>
                <w:numId w:val="2"/>
              </w:numPr>
              <w:tabs>
                <w:tab w:val="clear" w:pos="770"/>
              </w:tabs>
              <w:rPr>
                <w:rFonts w:asciiTheme="minorHAnsi" w:hAnsiTheme="minorHAnsi"/>
                <w:color w:val="000000"/>
                <w:sz w:val="24"/>
              </w:rPr>
            </w:pPr>
            <w:r w:rsidRPr="003135AE">
              <w:rPr>
                <w:rFonts w:asciiTheme="minorHAnsi" w:hAnsiTheme="minorHAnsi"/>
                <w:color w:val="000000"/>
                <w:sz w:val="24"/>
              </w:rPr>
              <w:t>Provide (quote) the institution’s equal opportunity and nondiscrimination statement(s).</w:t>
            </w:r>
          </w:p>
          <w:p w14:paraId="6648C460" w14:textId="77777777" w:rsidR="003135AE" w:rsidRPr="003135AE" w:rsidRDefault="003135AE" w:rsidP="003135AE">
            <w:pPr>
              <w:pStyle w:val="crg3"/>
              <w:numPr>
                <w:ilvl w:val="0"/>
                <w:numId w:val="2"/>
              </w:numPr>
              <w:tabs>
                <w:tab w:val="clear" w:pos="770"/>
              </w:tabs>
              <w:rPr>
                <w:rFonts w:asciiTheme="minorHAnsi" w:hAnsiTheme="minorHAnsi"/>
                <w:color w:val="000000"/>
                <w:sz w:val="24"/>
              </w:rPr>
            </w:pPr>
            <w:r w:rsidRPr="003135AE">
              <w:rPr>
                <w:rFonts w:asciiTheme="minorHAnsi" w:hAnsiTheme="minorHAnsi"/>
                <w:color w:val="000000"/>
                <w:sz w:val="24"/>
              </w:rPr>
              <w:t xml:space="preserve">Describe how the nondiscrimination statement and policy are made available to faculty, staff, prospective/enrolled students and the public. </w:t>
            </w:r>
          </w:p>
          <w:p w14:paraId="10A2809A" w14:textId="77777777" w:rsidR="00B07610" w:rsidRPr="00B07610" w:rsidRDefault="003135AE" w:rsidP="003135AE">
            <w:pPr>
              <w:tabs>
                <w:tab w:val="left" w:pos="540"/>
                <w:tab w:val="left" w:pos="1080"/>
              </w:tabs>
              <w:ind w:left="540" w:right="-144" w:hanging="540"/>
              <w:rPr>
                <w:sz w:val="24"/>
                <w:szCs w:val="24"/>
              </w:rPr>
            </w:pPr>
            <w:r w:rsidRPr="003135AE">
              <w:rPr>
                <w:rFonts w:cs="Arial"/>
                <w:sz w:val="18"/>
                <w:szCs w:val="20"/>
              </w:rPr>
              <w:t>Appendices &amp; On-site Material: See SSR Instructions &amp; Forms</w:t>
            </w:r>
          </w:p>
        </w:tc>
      </w:tr>
      <w:tr w:rsidR="00B07610" w:rsidRPr="00B07610" w14:paraId="041262CB" w14:textId="77777777" w:rsidTr="0045662D">
        <w:tc>
          <w:tcPr>
            <w:tcW w:w="1214" w:type="dxa"/>
          </w:tcPr>
          <w:p w14:paraId="506ED861" w14:textId="77777777" w:rsidR="00B07610" w:rsidRPr="00B07610" w:rsidRDefault="00B07610">
            <w:pPr>
              <w:rPr>
                <w:sz w:val="24"/>
                <w:szCs w:val="24"/>
              </w:rPr>
            </w:pPr>
            <w:r>
              <w:rPr>
                <w:sz w:val="24"/>
                <w:szCs w:val="24"/>
              </w:rPr>
              <w:t>RAD</w:t>
            </w:r>
          </w:p>
        </w:tc>
        <w:tc>
          <w:tcPr>
            <w:tcW w:w="2741" w:type="dxa"/>
          </w:tcPr>
          <w:p w14:paraId="476FD229" w14:textId="77777777" w:rsidR="00B07610" w:rsidRPr="00B07610" w:rsidRDefault="009D4422" w:rsidP="0045662D">
            <w:pPr>
              <w:autoSpaceDE w:val="0"/>
              <w:autoSpaceDN w:val="0"/>
              <w:adjustRightInd w:val="0"/>
              <w:rPr>
                <w:sz w:val="24"/>
                <w:szCs w:val="24"/>
              </w:rPr>
            </w:pPr>
            <w:hyperlink r:id="rId15" w:history="1">
              <w:r w:rsidR="0045662D" w:rsidRPr="009D4422">
                <w:rPr>
                  <w:rStyle w:val="Hyperlink"/>
                  <w:rFonts w:cs="Times New Roman"/>
                  <w:bCs/>
                  <w:sz w:val="24"/>
                  <w:szCs w:val="24"/>
                </w:rPr>
                <w:t xml:space="preserve">The Joint Review Committee on Education in Radiologic Technology </w:t>
              </w:r>
              <w:r w:rsidR="0045662D" w:rsidRPr="009D4422">
                <w:rPr>
                  <w:rStyle w:val="Hyperlink"/>
                  <w:sz w:val="24"/>
                  <w:szCs w:val="24"/>
                </w:rPr>
                <w:t>(JRCERT)</w:t>
              </w:r>
            </w:hyperlink>
          </w:p>
        </w:tc>
        <w:tc>
          <w:tcPr>
            <w:tcW w:w="10710" w:type="dxa"/>
          </w:tcPr>
          <w:p w14:paraId="27DE4F54" w14:textId="77777777" w:rsidR="003135AE" w:rsidRPr="003135AE" w:rsidRDefault="003135AE" w:rsidP="003135AE">
            <w:pPr>
              <w:autoSpaceDE w:val="0"/>
              <w:autoSpaceDN w:val="0"/>
              <w:adjustRightInd w:val="0"/>
              <w:rPr>
                <w:rFonts w:cs="Times New Roman"/>
                <w:color w:val="000000"/>
                <w:sz w:val="24"/>
                <w:szCs w:val="24"/>
              </w:rPr>
            </w:pPr>
            <w:r w:rsidRPr="003135AE">
              <w:rPr>
                <w:rFonts w:cs="Times New Roman"/>
                <w:bCs/>
                <w:color w:val="000000"/>
                <w:sz w:val="24"/>
                <w:szCs w:val="24"/>
              </w:rPr>
              <w:t xml:space="preserve">Standard One </w:t>
            </w:r>
            <w:r w:rsidRPr="003135AE">
              <w:rPr>
                <w:rFonts w:cs="Times New Roman"/>
                <w:bCs/>
                <w:i/>
                <w:iCs/>
                <w:color w:val="000000"/>
                <w:sz w:val="24"/>
                <w:szCs w:val="24"/>
              </w:rPr>
              <w:t xml:space="preserve">Integrity </w:t>
            </w:r>
          </w:p>
          <w:p w14:paraId="16961A97" w14:textId="77777777" w:rsidR="003135AE" w:rsidRPr="003135AE" w:rsidRDefault="003135AE" w:rsidP="003135AE">
            <w:pPr>
              <w:autoSpaceDE w:val="0"/>
              <w:autoSpaceDN w:val="0"/>
              <w:adjustRightInd w:val="0"/>
              <w:rPr>
                <w:rFonts w:cs="Times New Roman"/>
                <w:color w:val="000000"/>
                <w:sz w:val="24"/>
                <w:szCs w:val="24"/>
              </w:rPr>
            </w:pPr>
            <w:r w:rsidRPr="003135AE">
              <w:rPr>
                <w:rFonts w:cs="Times New Roman"/>
                <w:bCs/>
                <w:color w:val="000000"/>
                <w:sz w:val="24"/>
                <w:szCs w:val="24"/>
              </w:rPr>
              <w:t xml:space="preserve">The program demonstrates integrity in the following: </w:t>
            </w:r>
          </w:p>
          <w:p w14:paraId="1786DADD" w14:textId="77777777" w:rsidR="003135AE" w:rsidRPr="003135AE" w:rsidRDefault="003135AE" w:rsidP="003135AE">
            <w:pPr>
              <w:autoSpaceDE w:val="0"/>
              <w:autoSpaceDN w:val="0"/>
              <w:adjustRightInd w:val="0"/>
              <w:spacing w:after="44"/>
              <w:rPr>
                <w:rFonts w:cs="Times New Roman"/>
                <w:color w:val="000000"/>
                <w:sz w:val="24"/>
                <w:szCs w:val="24"/>
              </w:rPr>
            </w:pPr>
            <w:r w:rsidRPr="003135AE">
              <w:rPr>
                <w:rFonts w:cs="Times New Roman"/>
                <w:color w:val="000000"/>
                <w:sz w:val="24"/>
                <w:szCs w:val="24"/>
              </w:rPr>
              <w:t xml:space="preserve"> </w:t>
            </w:r>
            <w:r w:rsidRPr="003135AE">
              <w:rPr>
                <w:rFonts w:cs="Times New Roman"/>
                <w:bCs/>
                <w:color w:val="000000"/>
                <w:sz w:val="24"/>
                <w:szCs w:val="24"/>
              </w:rPr>
              <w:t xml:space="preserve">Representations to communities of interest and the public, </w:t>
            </w:r>
          </w:p>
          <w:p w14:paraId="2B87191E" w14:textId="77777777" w:rsidR="003135AE" w:rsidRPr="003135AE" w:rsidRDefault="003135AE" w:rsidP="003135AE">
            <w:pPr>
              <w:autoSpaceDE w:val="0"/>
              <w:autoSpaceDN w:val="0"/>
              <w:adjustRightInd w:val="0"/>
              <w:spacing w:after="44"/>
              <w:rPr>
                <w:rFonts w:cs="Times New Roman"/>
                <w:color w:val="000000"/>
                <w:sz w:val="24"/>
                <w:szCs w:val="24"/>
              </w:rPr>
            </w:pPr>
            <w:r w:rsidRPr="003135AE">
              <w:rPr>
                <w:rFonts w:cs="Times New Roman"/>
                <w:color w:val="000000"/>
                <w:sz w:val="24"/>
                <w:szCs w:val="24"/>
              </w:rPr>
              <w:t xml:space="preserve"> </w:t>
            </w:r>
            <w:r w:rsidRPr="003135AE">
              <w:rPr>
                <w:rFonts w:cs="Times New Roman"/>
                <w:bCs/>
                <w:color w:val="000000"/>
                <w:sz w:val="24"/>
                <w:szCs w:val="24"/>
              </w:rPr>
              <w:t xml:space="preserve">Pursuit of fair and equitable academic practices, and </w:t>
            </w:r>
          </w:p>
          <w:p w14:paraId="78DB5CA7" w14:textId="77777777" w:rsidR="003135AE" w:rsidRPr="003135AE" w:rsidRDefault="003135AE" w:rsidP="003135AE">
            <w:pPr>
              <w:autoSpaceDE w:val="0"/>
              <w:autoSpaceDN w:val="0"/>
              <w:adjustRightInd w:val="0"/>
              <w:rPr>
                <w:rFonts w:cs="Times New Roman"/>
                <w:color w:val="000000"/>
                <w:sz w:val="24"/>
                <w:szCs w:val="24"/>
              </w:rPr>
            </w:pPr>
            <w:r w:rsidRPr="003135AE">
              <w:rPr>
                <w:rFonts w:cs="Times New Roman"/>
                <w:color w:val="000000"/>
                <w:sz w:val="24"/>
                <w:szCs w:val="24"/>
              </w:rPr>
              <w:t xml:space="preserve"> </w:t>
            </w:r>
            <w:r w:rsidRPr="003135AE">
              <w:rPr>
                <w:rFonts w:cs="Times New Roman"/>
                <w:bCs/>
                <w:color w:val="000000"/>
                <w:sz w:val="24"/>
                <w:szCs w:val="24"/>
              </w:rPr>
              <w:t>Treatment of, and respect for, students, faculty, and staff</w:t>
            </w:r>
            <w:r w:rsidRPr="003135AE">
              <w:rPr>
                <w:rFonts w:cs="Times New Roman"/>
                <w:color w:val="000000"/>
                <w:sz w:val="24"/>
                <w:szCs w:val="24"/>
              </w:rPr>
              <w:t xml:space="preserve">. </w:t>
            </w:r>
          </w:p>
          <w:p w14:paraId="127E5AD2" w14:textId="77777777" w:rsidR="003135AE" w:rsidRPr="003135AE" w:rsidRDefault="003135AE" w:rsidP="003135AE">
            <w:pPr>
              <w:autoSpaceDE w:val="0"/>
              <w:autoSpaceDN w:val="0"/>
              <w:adjustRightInd w:val="0"/>
              <w:rPr>
                <w:rFonts w:cs="Times New Roman"/>
                <w:color w:val="000000"/>
                <w:sz w:val="24"/>
                <w:szCs w:val="24"/>
              </w:rPr>
            </w:pPr>
            <w:r w:rsidRPr="003135AE">
              <w:rPr>
                <w:rFonts w:cs="Times New Roman"/>
                <w:color w:val="000000"/>
                <w:sz w:val="24"/>
                <w:szCs w:val="24"/>
              </w:rPr>
              <w:t xml:space="preserve">1.9 Makes available to students, faculty, and the general public accurate information about admission </w:t>
            </w:r>
          </w:p>
          <w:p w14:paraId="146EF05A" w14:textId="77777777" w:rsidR="00B07610" w:rsidRDefault="003135AE" w:rsidP="003135AE">
            <w:pPr>
              <w:rPr>
                <w:rFonts w:cs="Times New Roman"/>
                <w:color w:val="000000"/>
                <w:sz w:val="24"/>
                <w:szCs w:val="24"/>
              </w:rPr>
            </w:pPr>
            <w:proofErr w:type="gramStart"/>
            <w:r w:rsidRPr="003135AE">
              <w:rPr>
                <w:rFonts w:cs="Times New Roman"/>
                <w:color w:val="000000"/>
                <w:sz w:val="24"/>
                <w:szCs w:val="24"/>
              </w:rPr>
              <w:t>policies</w:t>
            </w:r>
            <w:proofErr w:type="gramEnd"/>
            <w:r w:rsidRPr="003135AE">
              <w:rPr>
                <w:rFonts w:cs="Times New Roman"/>
                <w:color w:val="000000"/>
                <w:sz w:val="24"/>
                <w:szCs w:val="24"/>
              </w:rPr>
              <w:t>, tuition and fees, refund policies, academic calendars, clinical obligations, grading system, graduation requirements, and the criteria for transfer credit.</w:t>
            </w:r>
          </w:p>
          <w:p w14:paraId="7F0759CC" w14:textId="77777777" w:rsidR="003135AE" w:rsidRPr="003135AE" w:rsidRDefault="003135AE" w:rsidP="003135AE">
            <w:pPr>
              <w:autoSpaceDE w:val="0"/>
              <w:autoSpaceDN w:val="0"/>
              <w:adjustRightInd w:val="0"/>
              <w:rPr>
                <w:rFonts w:cs="Times New Roman"/>
                <w:color w:val="000000"/>
                <w:sz w:val="24"/>
                <w:szCs w:val="24"/>
              </w:rPr>
            </w:pPr>
            <w:r w:rsidRPr="003135AE">
              <w:rPr>
                <w:rFonts w:cs="Times New Roman"/>
                <w:color w:val="000000"/>
                <w:sz w:val="24"/>
                <w:szCs w:val="24"/>
              </w:rPr>
              <w:t xml:space="preserve">1.12 Has student recruitment and admission practices that are non-discriminatory with respect to any legally protected status such as race, color, religion, gender, age, disability, national origin, and any other protected class. </w:t>
            </w:r>
          </w:p>
          <w:p w14:paraId="580CF4A6" w14:textId="77777777" w:rsidR="003135AE" w:rsidRPr="00B07610" w:rsidRDefault="003135AE" w:rsidP="003135AE">
            <w:pPr>
              <w:rPr>
                <w:sz w:val="24"/>
                <w:szCs w:val="24"/>
              </w:rPr>
            </w:pPr>
            <w:r w:rsidRPr="003135AE">
              <w:rPr>
                <w:rFonts w:cs="Times New Roman"/>
                <w:color w:val="000000"/>
                <w:sz w:val="24"/>
                <w:szCs w:val="24"/>
              </w:rPr>
              <w:t>1.13 Has student recruitment and admission practices that are consistent with published policies of the sponsoring institution and the program.</w:t>
            </w:r>
          </w:p>
        </w:tc>
      </w:tr>
      <w:tr w:rsidR="00B07610" w:rsidRPr="00B07610" w14:paraId="268ECA38" w14:textId="77777777" w:rsidTr="0045662D">
        <w:tc>
          <w:tcPr>
            <w:tcW w:w="1214" w:type="dxa"/>
          </w:tcPr>
          <w:p w14:paraId="5064BB18" w14:textId="77777777" w:rsidR="00B07610" w:rsidRPr="00B07610" w:rsidRDefault="00B07610">
            <w:pPr>
              <w:rPr>
                <w:sz w:val="24"/>
                <w:szCs w:val="24"/>
              </w:rPr>
            </w:pPr>
            <w:r>
              <w:rPr>
                <w:sz w:val="24"/>
                <w:szCs w:val="24"/>
              </w:rPr>
              <w:t>RESP</w:t>
            </w:r>
          </w:p>
        </w:tc>
        <w:tc>
          <w:tcPr>
            <w:tcW w:w="2741" w:type="dxa"/>
          </w:tcPr>
          <w:p w14:paraId="436A6E25" w14:textId="77777777" w:rsidR="00B07610" w:rsidRPr="003135AE" w:rsidRDefault="009D4422">
            <w:pPr>
              <w:rPr>
                <w:sz w:val="24"/>
                <w:szCs w:val="24"/>
              </w:rPr>
            </w:pPr>
            <w:hyperlink r:id="rId16" w:history="1">
              <w:r w:rsidR="0045662D" w:rsidRPr="009D4422">
                <w:rPr>
                  <w:rStyle w:val="Hyperlink"/>
                  <w:sz w:val="24"/>
                  <w:szCs w:val="24"/>
                </w:rPr>
                <w:t>Commission on Accreditation for Respiratory Care (</w:t>
              </w:r>
              <w:proofErr w:type="spellStart"/>
              <w:r w:rsidR="0045662D" w:rsidRPr="009D4422">
                <w:rPr>
                  <w:rStyle w:val="Hyperlink"/>
                  <w:sz w:val="24"/>
                  <w:szCs w:val="24"/>
                </w:rPr>
                <w:t>CoARC</w:t>
              </w:r>
              <w:proofErr w:type="spellEnd"/>
              <w:r w:rsidR="0045662D" w:rsidRPr="009D4422">
                <w:rPr>
                  <w:rStyle w:val="Hyperlink"/>
                  <w:sz w:val="24"/>
                  <w:szCs w:val="24"/>
                </w:rPr>
                <w:t>)</w:t>
              </w:r>
            </w:hyperlink>
            <w:bookmarkStart w:id="0" w:name="_GoBack"/>
            <w:bookmarkEnd w:id="0"/>
          </w:p>
        </w:tc>
        <w:tc>
          <w:tcPr>
            <w:tcW w:w="10710" w:type="dxa"/>
          </w:tcPr>
          <w:p w14:paraId="651066E4" w14:textId="77777777" w:rsidR="006F6EEF" w:rsidRDefault="003135AE" w:rsidP="003135AE">
            <w:pPr>
              <w:autoSpaceDE w:val="0"/>
              <w:autoSpaceDN w:val="0"/>
              <w:adjustRightInd w:val="0"/>
              <w:rPr>
                <w:bCs/>
                <w:sz w:val="24"/>
                <w:szCs w:val="24"/>
              </w:rPr>
            </w:pPr>
            <w:r w:rsidRPr="003135AE">
              <w:rPr>
                <w:bCs/>
                <w:sz w:val="24"/>
                <w:szCs w:val="24"/>
              </w:rPr>
              <w:t xml:space="preserve">V. FAIR PRACTICES AND RECORDKEEPING </w:t>
            </w:r>
          </w:p>
          <w:p w14:paraId="414836C8" w14:textId="77777777" w:rsidR="006F6EEF" w:rsidRPr="006F6EEF" w:rsidRDefault="006F6EEF" w:rsidP="006F6EEF">
            <w:pPr>
              <w:autoSpaceDE w:val="0"/>
              <w:autoSpaceDN w:val="0"/>
              <w:adjustRightInd w:val="0"/>
              <w:rPr>
                <w:rFonts w:ascii="Calibri" w:hAnsi="Calibri" w:cs="Calibri"/>
                <w:color w:val="000000"/>
                <w:sz w:val="24"/>
                <w:szCs w:val="24"/>
              </w:rPr>
            </w:pPr>
            <w:r w:rsidRPr="006F6EEF">
              <w:rPr>
                <w:rFonts w:ascii="Calibri" w:hAnsi="Calibri" w:cs="Calibri"/>
                <w:color w:val="000000"/>
                <w:sz w:val="24"/>
                <w:szCs w:val="24"/>
              </w:rPr>
              <w:t xml:space="preserve">5.02 At least the following must be defined, published, and readily available to all prospective and enrolled students: </w:t>
            </w:r>
          </w:p>
          <w:p w14:paraId="0A6A7D76" w14:textId="77777777" w:rsidR="006F6EEF" w:rsidRPr="006F6EEF" w:rsidRDefault="006F6EEF" w:rsidP="006F6EEF">
            <w:pPr>
              <w:autoSpaceDE w:val="0"/>
              <w:autoSpaceDN w:val="0"/>
              <w:adjustRightInd w:val="0"/>
              <w:spacing w:after="22"/>
              <w:rPr>
                <w:rFonts w:ascii="Calibri" w:hAnsi="Calibri" w:cs="Calibri"/>
                <w:color w:val="000000"/>
                <w:sz w:val="24"/>
                <w:szCs w:val="24"/>
              </w:rPr>
            </w:pPr>
            <w:r w:rsidRPr="006F6EEF">
              <w:rPr>
                <w:rFonts w:ascii="Calibri" w:hAnsi="Calibri" w:cs="Calibri"/>
                <w:color w:val="000000"/>
                <w:sz w:val="24"/>
                <w:szCs w:val="24"/>
              </w:rPr>
              <w:t xml:space="preserve">b) Admission and transfer policies; </w:t>
            </w:r>
          </w:p>
          <w:p w14:paraId="325BD370" w14:textId="77777777" w:rsidR="006F6EEF" w:rsidRPr="006F6EEF" w:rsidRDefault="006F6EEF" w:rsidP="006F6EEF">
            <w:pPr>
              <w:autoSpaceDE w:val="0"/>
              <w:autoSpaceDN w:val="0"/>
              <w:adjustRightInd w:val="0"/>
              <w:rPr>
                <w:rFonts w:ascii="Calibri" w:hAnsi="Calibri" w:cs="Calibri"/>
                <w:color w:val="000000"/>
                <w:sz w:val="24"/>
                <w:szCs w:val="24"/>
              </w:rPr>
            </w:pPr>
            <w:r w:rsidRPr="006F6EEF">
              <w:rPr>
                <w:rFonts w:ascii="Calibri" w:hAnsi="Calibri" w:cs="Calibri"/>
                <w:color w:val="000000"/>
                <w:sz w:val="24"/>
                <w:szCs w:val="24"/>
              </w:rPr>
              <w:t xml:space="preserve">c) Policies regarding advanced placement; </w:t>
            </w:r>
          </w:p>
          <w:p w14:paraId="07CB32AD" w14:textId="77777777" w:rsidR="003135AE" w:rsidRPr="003135AE" w:rsidRDefault="003135AE" w:rsidP="003135AE">
            <w:pPr>
              <w:autoSpaceDE w:val="0"/>
              <w:autoSpaceDN w:val="0"/>
              <w:adjustRightInd w:val="0"/>
              <w:rPr>
                <w:rFonts w:ascii="Calibri" w:hAnsi="Calibri" w:cs="Calibri"/>
                <w:color w:val="000000"/>
                <w:sz w:val="24"/>
                <w:szCs w:val="24"/>
              </w:rPr>
            </w:pPr>
            <w:r w:rsidRPr="003135AE">
              <w:rPr>
                <w:rFonts w:ascii="Calibri" w:hAnsi="Calibri" w:cs="Calibri"/>
                <w:bCs/>
                <w:color w:val="000000"/>
                <w:sz w:val="24"/>
                <w:szCs w:val="24"/>
              </w:rPr>
              <w:t xml:space="preserve">Non-discriminatory Practice </w:t>
            </w:r>
          </w:p>
          <w:p w14:paraId="1963D929" w14:textId="77777777" w:rsidR="00B07610" w:rsidRPr="003135AE" w:rsidRDefault="003135AE" w:rsidP="003135AE">
            <w:pPr>
              <w:rPr>
                <w:sz w:val="24"/>
                <w:szCs w:val="24"/>
              </w:rPr>
            </w:pPr>
            <w:r w:rsidRPr="003135AE">
              <w:rPr>
                <w:rFonts w:ascii="Calibri" w:hAnsi="Calibri" w:cs="Calibri"/>
                <w:color w:val="000000"/>
                <w:sz w:val="24"/>
                <w:szCs w:val="24"/>
              </w:rPr>
              <w:t>5.04 All activities associated with the program, including personnel and student policies, student and faculty recruitment, student admission, and faculty employment practices, must be non-discriminatory and in accord with federal and state statutes, rules, and regulations.</w:t>
            </w:r>
          </w:p>
        </w:tc>
      </w:tr>
    </w:tbl>
    <w:p w14:paraId="4EF09564" w14:textId="77777777" w:rsidR="002D7180" w:rsidRPr="00B07610" w:rsidRDefault="002D7180">
      <w:pPr>
        <w:rPr>
          <w:sz w:val="24"/>
          <w:szCs w:val="24"/>
        </w:rPr>
      </w:pPr>
    </w:p>
    <w:sectPr w:rsidR="002D7180" w:rsidRPr="00B07610" w:rsidSect="00B076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8BE2" w14:textId="77777777" w:rsidR="00F75A25" w:rsidRDefault="00F75A25" w:rsidP="003135AE">
      <w:pPr>
        <w:spacing w:after="0" w:line="240" w:lineRule="auto"/>
      </w:pPr>
      <w:r>
        <w:separator/>
      </w:r>
    </w:p>
  </w:endnote>
  <w:endnote w:type="continuationSeparator" w:id="0">
    <w:p w14:paraId="016B64B5" w14:textId="77777777" w:rsidR="00F75A25" w:rsidRDefault="00F75A25" w:rsidP="003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00F5E" w14:textId="77777777" w:rsidR="00F75A25" w:rsidRDefault="00F75A25" w:rsidP="003135AE">
      <w:pPr>
        <w:spacing w:after="0" w:line="240" w:lineRule="auto"/>
      </w:pPr>
      <w:r>
        <w:separator/>
      </w:r>
    </w:p>
  </w:footnote>
  <w:footnote w:type="continuationSeparator" w:id="0">
    <w:p w14:paraId="3DD4F765" w14:textId="77777777" w:rsidR="00F75A25" w:rsidRDefault="00F75A25" w:rsidP="003135AE">
      <w:pPr>
        <w:spacing w:after="0" w:line="240" w:lineRule="auto"/>
      </w:pPr>
      <w:r>
        <w:continuationSeparator/>
      </w:r>
    </w:p>
  </w:footnote>
  <w:footnote w:id="1">
    <w:p w14:paraId="187742A8" w14:textId="77777777" w:rsidR="003135AE" w:rsidRPr="007A1913" w:rsidRDefault="003135AE" w:rsidP="003135AE">
      <w:pPr>
        <w:pStyle w:val="FootnoteText"/>
        <w:rPr>
          <w:rFonts w:ascii="Calibri" w:hAnsi="Calibri"/>
          <w:sz w:val="16"/>
          <w:szCs w:val="16"/>
        </w:rPr>
      </w:pPr>
      <w:r w:rsidRPr="007A1913">
        <w:rPr>
          <w:rStyle w:val="FootnoteReference"/>
          <w:rFonts w:ascii="Calibri" w:hAnsi="Calibri"/>
          <w:sz w:val="16"/>
          <w:szCs w:val="16"/>
        </w:rPr>
        <w:footnoteRef/>
      </w:r>
      <w:r w:rsidRPr="007A1913">
        <w:rPr>
          <w:rFonts w:ascii="Calibri" w:hAnsi="Calibri"/>
          <w:sz w:val="16"/>
          <w:szCs w:val="16"/>
        </w:rPr>
        <w:t xml:space="preserve"> </w:t>
      </w:r>
      <w:r w:rsidRPr="007A1913">
        <w:rPr>
          <w:rFonts w:ascii="Calibri" w:hAnsi="Calibri"/>
          <w:b/>
          <w:sz w:val="16"/>
          <w:szCs w:val="16"/>
          <w:lang w:eastAsia="ja-JP"/>
        </w:rPr>
        <w:t>Procedure</w:t>
      </w:r>
      <w:r w:rsidRPr="007A1913">
        <w:rPr>
          <w:rFonts w:ascii="Calibri" w:hAnsi="Calibri"/>
          <w:sz w:val="16"/>
          <w:szCs w:val="16"/>
          <w:lang w:eastAsia="ja-JP"/>
        </w:rPr>
        <w:t>: A description of the methods, activities, or processes used to implement a policy.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F5652"/>
    <w:multiLevelType w:val="hybridMultilevel"/>
    <w:tmpl w:val="CDE8D5E6"/>
    <w:lvl w:ilvl="0" w:tplc="74FECA4E">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nsid w:val="77B65931"/>
    <w:multiLevelType w:val="hybridMultilevel"/>
    <w:tmpl w:val="5BC0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10"/>
    <w:rsid w:val="00085B69"/>
    <w:rsid w:val="002C532E"/>
    <w:rsid w:val="002D7180"/>
    <w:rsid w:val="003135AE"/>
    <w:rsid w:val="0045662D"/>
    <w:rsid w:val="006E0412"/>
    <w:rsid w:val="006F6EEF"/>
    <w:rsid w:val="00901BD2"/>
    <w:rsid w:val="009D4422"/>
    <w:rsid w:val="00AA4AE6"/>
    <w:rsid w:val="00B07610"/>
    <w:rsid w:val="00F7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7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761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1BD2"/>
    <w:pPr>
      <w:ind w:left="720"/>
      <w:contextualSpacing/>
    </w:pPr>
  </w:style>
  <w:style w:type="paragraph" w:styleId="FootnoteText">
    <w:name w:val="footnote text"/>
    <w:basedOn w:val="Normal"/>
    <w:link w:val="FootnoteTextChar"/>
    <w:semiHidden/>
    <w:rsid w:val="003135AE"/>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135AE"/>
    <w:rPr>
      <w:rFonts w:ascii="Arial" w:eastAsia="Times New Roman" w:hAnsi="Arial" w:cs="Times New Roman"/>
      <w:sz w:val="20"/>
      <w:szCs w:val="20"/>
    </w:rPr>
  </w:style>
  <w:style w:type="character" w:styleId="FootnoteReference">
    <w:name w:val="footnote reference"/>
    <w:semiHidden/>
    <w:rsid w:val="003135AE"/>
    <w:rPr>
      <w:vertAlign w:val="superscript"/>
    </w:rPr>
  </w:style>
  <w:style w:type="paragraph" w:customStyle="1" w:styleId="crg3">
    <w:name w:val="crg3"/>
    <w:basedOn w:val="Normal"/>
    <w:rsid w:val="003135AE"/>
    <w:pPr>
      <w:tabs>
        <w:tab w:val="left" w:pos="770"/>
      </w:tabs>
      <w:spacing w:after="0" w:line="240" w:lineRule="auto"/>
    </w:pPr>
    <w:rPr>
      <w:rFonts w:ascii="Times New Roman" w:eastAsia="Times New Roman" w:hAnsi="Times New Roman" w:cs="Arial"/>
      <w:sz w:val="20"/>
      <w:szCs w:val="24"/>
    </w:rPr>
  </w:style>
  <w:style w:type="paragraph" w:customStyle="1" w:styleId="crg2">
    <w:name w:val="crg2"/>
    <w:basedOn w:val="BodyTextIndent"/>
    <w:rsid w:val="003135AE"/>
    <w:pPr>
      <w:spacing w:after="0" w:line="240" w:lineRule="auto"/>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3135AE"/>
    <w:pPr>
      <w:spacing w:after="120"/>
      <w:ind w:left="360"/>
    </w:pPr>
  </w:style>
  <w:style w:type="character" w:customStyle="1" w:styleId="BodyTextIndentChar">
    <w:name w:val="Body Text Indent Char"/>
    <w:basedOn w:val="DefaultParagraphFont"/>
    <w:link w:val="BodyTextIndent"/>
    <w:uiPriority w:val="99"/>
    <w:semiHidden/>
    <w:rsid w:val="003135AE"/>
  </w:style>
  <w:style w:type="character" w:styleId="Hyperlink">
    <w:name w:val="Hyperlink"/>
    <w:basedOn w:val="DefaultParagraphFont"/>
    <w:uiPriority w:val="99"/>
    <w:unhideWhenUsed/>
    <w:rsid w:val="009D442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761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01BD2"/>
    <w:pPr>
      <w:ind w:left="720"/>
      <w:contextualSpacing/>
    </w:pPr>
  </w:style>
  <w:style w:type="paragraph" w:styleId="FootnoteText">
    <w:name w:val="footnote text"/>
    <w:basedOn w:val="Normal"/>
    <w:link w:val="FootnoteTextChar"/>
    <w:semiHidden/>
    <w:rsid w:val="003135AE"/>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135AE"/>
    <w:rPr>
      <w:rFonts w:ascii="Arial" w:eastAsia="Times New Roman" w:hAnsi="Arial" w:cs="Times New Roman"/>
      <w:sz w:val="20"/>
      <w:szCs w:val="20"/>
    </w:rPr>
  </w:style>
  <w:style w:type="character" w:styleId="FootnoteReference">
    <w:name w:val="footnote reference"/>
    <w:semiHidden/>
    <w:rsid w:val="003135AE"/>
    <w:rPr>
      <w:vertAlign w:val="superscript"/>
    </w:rPr>
  </w:style>
  <w:style w:type="paragraph" w:customStyle="1" w:styleId="crg3">
    <w:name w:val="crg3"/>
    <w:basedOn w:val="Normal"/>
    <w:rsid w:val="003135AE"/>
    <w:pPr>
      <w:tabs>
        <w:tab w:val="left" w:pos="770"/>
      </w:tabs>
      <w:spacing w:after="0" w:line="240" w:lineRule="auto"/>
    </w:pPr>
    <w:rPr>
      <w:rFonts w:ascii="Times New Roman" w:eastAsia="Times New Roman" w:hAnsi="Times New Roman" w:cs="Arial"/>
      <w:sz w:val="20"/>
      <w:szCs w:val="24"/>
    </w:rPr>
  </w:style>
  <w:style w:type="paragraph" w:customStyle="1" w:styleId="crg2">
    <w:name w:val="crg2"/>
    <w:basedOn w:val="BodyTextIndent"/>
    <w:rsid w:val="003135AE"/>
    <w:pPr>
      <w:spacing w:after="0" w:line="240" w:lineRule="auto"/>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3135AE"/>
    <w:pPr>
      <w:spacing w:after="120"/>
      <w:ind w:left="360"/>
    </w:pPr>
  </w:style>
  <w:style w:type="character" w:customStyle="1" w:styleId="BodyTextIndentChar">
    <w:name w:val="Body Text Indent Char"/>
    <w:basedOn w:val="DefaultParagraphFont"/>
    <w:link w:val="BodyTextIndent"/>
    <w:uiPriority w:val="99"/>
    <w:semiHidden/>
    <w:rsid w:val="003135AE"/>
  </w:style>
  <w:style w:type="character" w:styleId="Hyperlink">
    <w:name w:val="Hyperlink"/>
    <w:basedOn w:val="DefaultParagraphFont"/>
    <w:uiPriority w:val="99"/>
    <w:unhideWhenUsed/>
    <w:rsid w:val="009D4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erb.org/" TargetMode="External"/><Relationship Id="rId12" Type="http://schemas.openxmlformats.org/officeDocument/2006/relationships/hyperlink" Target="https://www.naacls.org/students.aspx" TargetMode="External"/><Relationship Id="rId13" Type="http://schemas.openxmlformats.org/officeDocument/2006/relationships/hyperlink" Target="http://www.aota.org/Education-Careers/Accreditation.aspx" TargetMode="External"/><Relationship Id="rId14" Type="http://schemas.openxmlformats.org/officeDocument/2006/relationships/hyperlink" Target="http://www.capteonline.org/home.aspx" TargetMode="External"/><Relationship Id="rId15" Type="http://schemas.openxmlformats.org/officeDocument/2006/relationships/hyperlink" Target="http://www.jrcert.org/" TargetMode="External"/><Relationship Id="rId16" Type="http://schemas.openxmlformats.org/officeDocument/2006/relationships/hyperlink" Target="http://www.coarc.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a.org/en/coda" TargetMode="External"/><Relationship Id="rId9" Type="http://schemas.openxmlformats.org/officeDocument/2006/relationships/hyperlink" Target="http://www.acenursing.org/" TargetMode="External"/><Relationship Id="rId10" Type="http://schemas.openxmlformats.org/officeDocument/2006/relationships/hyperlink" Target="https://laulima.hawaii.edu/x/ENQ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Kitamura</dc:creator>
  <cp:keywords/>
  <dc:description/>
  <cp:lastModifiedBy>KCC</cp:lastModifiedBy>
  <cp:revision>2</cp:revision>
  <dcterms:created xsi:type="dcterms:W3CDTF">2017-03-29T06:24:00Z</dcterms:created>
  <dcterms:modified xsi:type="dcterms:W3CDTF">2017-03-29T06:24:00Z</dcterms:modified>
</cp:coreProperties>
</file>