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73DDE" w14:textId="77777777" w:rsidR="00EA414E" w:rsidRDefault="00EA414E" w:rsidP="009D3E32">
      <w:pPr>
        <w:rPr>
          <w:color w:val="DB4437"/>
        </w:rPr>
      </w:pPr>
      <w:bookmarkStart w:id="0" w:name="_GoBack"/>
      <w:bookmarkEnd w:id="0"/>
      <w:r w:rsidRPr="00EA414E">
        <w:t>How are the prerequisites and other qualifications for the baccalaureate degree communicated and applied to students? </w:t>
      </w:r>
      <w:r w:rsidRPr="00EA414E">
        <w:rPr>
          <w:color w:val="DB4437"/>
        </w:rPr>
        <w:t>*</w:t>
      </w:r>
    </w:p>
    <w:p w14:paraId="3B3D4B76" w14:textId="77777777" w:rsidR="00EA414E" w:rsidRDefault="00EA414E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</w:p>
    <w:p w14:paraId="3984B13A" w14:textId="54636A9D" w:rsidR="00AE230C" w:rsidRDefault="00EA414E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>
        <w:rPr>
          <w:rFonts w:ascii="Helvetica" w:eastAsia="Times New Roman" w:hAnsi="Helvetica" w:cs="Times New Roman"/>
          <w:color w:val="DB4437"/>
          <w:sz w:val="30"/>
          <w:szCs w:val="30"/>
        </w:rPr>
        <w:t xml:space="preserve">With the </w:t>
      </w:r>
      <w:r w:rsidR="00AE230C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recent </w:t>
      </w:r>
      <w:r>
        <w:rPr>
          <w:rFonts w:ascii="Helvetica" w:eastAsia="Times New Roman" w:hAnsi="Helvetica" w:cs="Times New Roman"/>
          <w:color w:val="DB4437"/>
          <w:sz w:val="30"/>
          <w:szCs w:val="30"/>
        </w:rPr>
        <w:t>implementation of STAR and the “What If Journey”,</w:t>
      </w:r>
      <w:r w:rsidR="00AE230C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we have been using this method primarily to communicate the prerequisites and other qualifications for baccalaureate degrees</w:t>
      </w:r>
      <w:r w:rsidR="0001529D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within the UH system</w:t>
      </w:r>
      <w:r w:rsidR="00AE230C">
        <w:rPr>
          <w:rFonts w:ascii="Helvetica" w:eastAsia="Times New Roman" w:hAnsi="Helvetica" w:cs="Times New Roman"/>
          <w:color w:val="DB4437"/>
          <w:sz w:val="30"/>
          <w:szCs w:val="30"/>
        </w:rPr>
        <w:t>.</w:t>
      </w:r>
      <w:r w:rsidR="00D41149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 We rely on the following methods below for other baccalaureate programs at colleges and universities outside of the UH System. </w:t>
      </w:r>
    </w:p>
    <w:p w14:paraId="328FE33A" w14:textId="77777777" w:rsidR="00AE230C" w:rsidRDefault="00AE230C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</w:p>
    <w:p w14:paraId="550CE3CA" w14:textId="45CEC3B6" w:rsidR="00EA414E" w:rsidRDefault="00D41149" w:rsidP="00D41149">
      <w:pPr>
        <w:pStyle w:val="ListParagraph"/>
        <w:numPr>
          <w:ilvl w:val="0"/>
          <w:numId w:val="1"/>
        </w:num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 w:rsidRPr="00D41149">
        <w:rPr>
          <w:rFonts w:ascii="Helvetica" w:eastAsia="Times New Roman" w:hAnsi="Helvetica" w:cs="Times New Roman"/>
          <w:color w:val="DB4437"/>
          <w:sz w:val="30"/>
          <w:szCs w:val="30"/>
        </w:rPr>
        <w:t>C</w:t>
      </w:r>
      <w:r w:rsidR="00AE230C" w:rsidRPr="00D41149">
        <w:rPr>
          <w:rFonts w:ascii="Helvetica" w:eastAsia="Times New Roman" w:hAnsi="Helvetica" w:cs="Times New Roman"/>
          <w:color w:val="DB4437"/>
          <w:sz w:val="30"/>
          <w:szCs w:val="30"/>
        </w:rPr>
        <w:t>ollege/university websites for information.  Many of the websites supply an advising sheet</w:t>
      </w:r>
      <w:r w:rsidR="00EA414E" w:rsidRPr="00D41149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</w:t>
      </w:r>
      <w:r w:rsidR="00AE230C" w:rsidRPr="00D41149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and information regarding their program.  Occasionally, we would come across </w:t>
      </w:r>
      <w:r w:rsidR="00CF4F1B" w:rsidRPr="00D41149">
        <w:rPr>
          <w:rFonts w:ascii="Helvetica" w:eastAsia="Times New Roman" w:hAnsi="Helvetica" w:cs="Times New Roman"/>
          <w:color w:val="DB4437"/>
          <w:sz w:val="30"/>
          <w:szCs w:val="30"/>
        </w:rPr>
        <w:t>colle</w:t>
      </w:r>
      <w:r w:rsidR="00982213">
        <w:rPr>
          <w:rFonts w:ascii="Helvetica" w:eastAsia="Times New Roman" w:hAnsi="Helvetica" w:cs="Times New Roman"/>
          <w:color w:val="DB4437"/>
          <w:sz w:val="30"/>
          <w:szCs w:val="30"/>
        </w:rPr>
        <w:t>ge</w:t>
      </w:r>
      <w:r w:rsidR="00CF4F1B" w:rsidRPr="00D41149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/university </w:t>
      </w:r>
      <w:r w:rsidR="00AE230C" w:rsidRPr="00D41149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websites that </w:t>
      </w:r>
      <w:r w:rsidR="00CF4F1B" w:rsidRPr="00D41149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also </w:t>
      </w:r>
      <w:r w:rsidR="00AE230C" w:rsidRPr="00D41149">
        <w:rPr>
          <w:rFonts w:ascii="Helvetica" w:eastAsia="Times New Roman" w:hAnsi="Helvetica" w:cs="Times New Roman"/>
          <w:color w:val="DB4437"/>
          <w:sz w:val="30"/>
          <w:szCs w:val="30"/>
        </w:rPr>
        <w:t>provide a “transfer</w:t>
      </w:r>
      <w:r w:rsidR="00CF4F1B" w:rsidRPr="00D41149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database</w:t>
      </w:r>
      <w:r w:rsidR="00AE230C" w:rsidRPr="00D41149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” to see how courses from </w:t>
      </w:r>
      <w:proofErr w:type="spellStart"/>
      <w:r w:rsidR="00AE230C" w:rsidRPr="00D41149">
        <w:rPr>
          <w:rFonts w:ascii="Helvetica" w:eastAsia="Times New Roman" w:hAnsi="Helvetica" w:cs="Times New Roman"/>
          <w:color w:val="DB4437"/>
          <w:sz w:val="30"/>
          <w:szCs w:val="30"/>
        </w:rPr>
        <w:t>KapCC</w:t>
      </w:r>
      <w:proofErr w:type="spellEnd"/>
      <w:r w:rsidR="00AE230C" w:rsidRPr="00D41149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would articulate </w:t>
      </w:r>
      <w:r w:rsidR="00CF4F1B" w:rsidRPr="00D41149">
        <w:rPr>
          <w:rFonts w:ascii="Helvetica" w:eastAsia="Times New Roman" w:hAnsi="Helvetica" w:cs="Times New Roman"/>
          <w:color w:val="DB4437"/>
          <w:sz w:val="30"/>
          <w:szCs w:val="30"/>
        </w:rPr>
        <w:t>to their campus.</w:t>
      </w:r>
      <w:r w:rsidR="00897CF8" w:rsidRPr="00D41149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 This information is useful to students as it identifies whether or not we offer the courses that would transfer.</w:t>
      </w:r>
    </w:p>
    <w:p w14:paraId="57690904" w14:textId="77777777" w:rsidR="00982213" w:rsidRDefault="00982213" w:rsidP="00D41149">
      <w:pPr>
        <w:pStyle w:val="ListParagraph"/>
        <w:numPr>
          <w:ilvl w:val="0"/>
          <w:numId w:val="1"/>
        </w:num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>
        <w:rPr>
          <w:rFonts w:ascii="Helvetica" w:eastAsia="Times New Roman" w:hAnsi="Helvetica" w:cs="Times New Roman"/>
          <w:color w:val="DB4437"/>
          <w:sz w:val="30"/>
          <w:szCs w:val="30"/>
        </w:rPr>
        <w:t>Phone call.  Many times, we would have the student call from our office and ask to speak with a representative that can talk about prerequisites and other qualifications.  This is useful as the student would be able to connect with a representative and work directly with that person prior to transferring.</w:t>
      </w:r>
    </w:p>
    <w:p w14:paraId="4E5F02FE" w14:textId="77777777" w:rsidR="006E0C84" w:rsidRDefault="00982213" w:rsidP="00D41149">
      <w:pPr>
        <w:pStyle w:val="ListParagraph"/>
        <w:numPr>
          <w:ilvl w:val="0"/>
          <w:numId w:val="1"/>
        </w:num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>
        <w:rPr>
          <w:rFonts w:ascii="Helvetica" w:eastAsia="Times New Roman" w:hAnsi="Helvetica" w:cs="Times New Roman"/>
          <w:color w:val="DB4437"/>
          <w:sz w:val="30"/>
          <w:szCs w:val="30"/>
        </w:rPr>
        <w:t>Email.  Lots of times, students a</w:t>
      </w:r>
      <w:r w:rsidR="003E4122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re encouraged to email the </w:t>
      </w:r>
      <w:r>
        <w:rPr>
          <w:rFonts w:ascii="Helvetica" w:eastAsia="Times New Roman" w:hAnsi="Helvetica" w:cs="Times New Roman"/>
          <w:color w:val="DB4437"/>
          <w:sz w:val="30"/>
          <w:szCs w:val="30"/>
        </w:rPr>
        <w:t>baccalaureate</w:t>
      </w:r>
      <w:r w:rsidR="003E4122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programs as the responses would serve as documentation and often provide a pathway of what needs to be done. </w:t>
      </w:r>
    </w:p>
    <w:p w14:paraId="03E502D1" w14:textId="65E5CD70" w:rsidR="003E4122" w:rsidRPr="006E0C84" w:rsidRDefault="003E4122" w:rsidP="006E0C84">
      <w:pPr>
        <w:pStyle w:val="ListParagraph"/>
        <w:numPr>
          <w:ilvl w:val="0"/>
          <w:numId w:val="1"/>
        </w:num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</w:t>
      </w:r>
      <w:r w:rsidR="006E0C84">
        <w:rPr>
          <w:rFonts w:ascii="Helvetica" w:eastAsia="Times New Roman" w:hAnsi="Helvetica" w:cs="Times New Roman"/>
          <w:color w:val="DB4437"/>
          <w:sz w:val="30"/>
          <w:szCs w:val="30"/>
        </w:rPr>
        <w:t>College/University Fairs.  We encourage all students to attend college/university fairs as a representative would be there to answer questions.</w:t>
      </w:r>
    </w:p>
    <w:p w14:paraId="3E27F348" w14:textId="63B43C44" w:rsidR="00347DAE" w:rsidRDefault="003E4122" w:rsidP="00D41149">
      <w:pPr>
        <w:pStyle w:val="ListParagraph"/>
        <w:numPr>
          <w:ilvl w:val="0"/>
          <w:numId w:val="1"/>
        </w:num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>
        <w:rPr>
          <w:rFonts w:ascii="Helvetica" w:eastAsia="Times New Roman" w:hAnsi="Helvetica" w:cs="Times New Roman"/>
          <w:color w:val="DB4437"/>
          <w:sz w:val="30"/>
          <w:szCs w:val="30"/>
        </w:rPr>
        <w:t xml:space="preserve">Transfer workshops. </w:t>
      </w:r>
      <w:r w:rsidR="009D2FD7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We </w:t>
      </w:r>
      <w:r w:rsidR="006E0C84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have coordinated </w:t>
      </w:r>
      <w:r w:rsidR="00347DAE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with </w:t>
      </w:r>
      <w:proofErr w:type="spellStart"/>
      <w:r w:rsidR="00347DAE">
        <w:rPr>
          <w:rFonts w:ascii="Helvetica" w:eastAsia="Times New Roman" w:hAnsi="Helvetica" w:cs="Times New Roman"/>
          <w:color w:val="DB4437"/>
          <w:sz w:val="30"/>
          <w:szCs w:val="30"/>
        </w:rPr>
        <w:t>UHWO</w:t>
      </w:r>
      <w:proofErr w:type="spellEnd"/>
      <w:r w:rsidR="00347DAE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to conduct </w:t>
      </w:r>
      <w:r w:rsidR="006E0C84">
        <w:rPr>
          <w:rFonts w:ascii="Helvetica" w:eastAsia="Times New Roman" w:hAnsi="Helvetica" w:cs="Times New Roman"/>
          <w:color w:val="DB4437"/>
          <w:sz w:val="30"/>
          <w:szCs w:val="30"/>
        </w:rPr>
        <w:t>a</w:t>
      </w:r>
      <w:r w:rsidR="009D2FD7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</w:t>
      </w:r>
      <w:r w:rsidR="00347DAE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Transfer Student </w:t>
      </w:r>
      <w:r w:rsidR="009D2FD7">
        <w:rPr>
          <w:rFonts w:ascii="Helvetica" w:eastAsia="Times New Roman" w:hAnsi="Helvetica" w:cs="Times New Roman"/>
          <w:color w:val="DB4437"/>
          <w:sz w:val="30"/>
          <w:szCs w:val="30"/>
        </w:rPr>
        <w:t>Pre-registration Workshop</w:t>
      </w:r>
      <w:r w:rsidR="00347DAE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at </w:t>
      </w:r>
      <w:proofErr w:type="spellStart"/>
      <w:r w:rsidR="00347DAE">
        <w:rPr>
          <w:rFonts w:ascii="Helvetica" w:eastAsia="Times New Roman" w:hAnsi="Helvetica" w:cs="Times New Roman"/>
          <w:color w:val="DB4437"/>
          <w:sz w:val="30"/>
          <w:szCs w:val="30"/>
        </w:rPr>
        <w:t>KapCC</w:t>
      </w:r>
      <w:proofErr w:type="spellEnd"/>
      <w:r w:rsidR="00347DAE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.  Representatives from </w:t>
      </w:r>
      <w:proofErr w:type="spellStart"/>
      <w:r w:rsidR="00347DAE">
        <w:rPr>
          <w:rFonts w:ascii="Helvetica" w:eastAsia="Times New Roman" w:hAnsi="Helvetica" w:cs="Times New Roman"/>
          <w:color w:val="DB4437"/>
          <w:sz w:val="30"/>
          <w:szCs w:val="30"/>
        </w:rPr>
        <w:t>UHWO</w:t>
      </w:r>
      <w:proofErr w:type="spellEnd"/>
      <w:r w:rsidR="00347DAE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will include their Transfer </w:t>
      </w:r>
      <w:r w:rsidR="00347DAE">
        <w:rPr>
          <w:rFonts w:ascii="Helvetica" w:eastAsia="Times New Roman" w:hAnsi="Helvetica" w:cs="Times New Roman"/>
          <w:color w:val="DB4437"/>
          <w:sz w:val="30"/>
          <w:szCs w:val="30"/>
        </w:rPr>
        <w:lastRenderedPageBreak/>
        <w:t>Articulation Counselor, Admissions Officer, and Financial Aid Representative and speak to students about their college, admission requirements, financial aid, and their baccalaureate degree programs.</w:t>
      </w:r>
    </w:p>
    <w:p w14:paraId="6CC56A95" w14:textId="77777777" w:rsidR="00EA414E" w:rsidRDefault="00EA414E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</w:p>
    <w:p w14:paraId="6C96C565" w14:textId="77777777" w:rsidR="00EA414E" w:rsidRPr="00EA414E" w:rsidRDefault="00EA414E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6F1FA9DA" w14:textId="77777777" w:rsidR="00EA414E" w:rsidRDefault="00EA414E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 w:rsidRPr="00EA414E">
        <w:rPr>
          <w:rFonts w:ascii="Helvetica" w:eastAsia="Times New Roman" w:hAnsi="Helvetica" w:cs="Times New Roman"/>
          <w:color w:val="000000"/>
          <w:sz w:val="30"/>
          <w:szCs w:val="30"/>
        </w:rPr>
        <w:t>How does the advising of students related to the baccalaureate degree appropriately identify course sequencing and pathways? </w:t>
      </w:r>
      <w:r w:rsidRPr="00EA414E">
        <w:rPr>
          <w:rFonts w:ascii="Helvetica" w:eastAsia="Times New Roman" w:hAnsi="Helvetica" w:cs="Times New Roman"/>
          <w:color w:val="DB4437"/>
          <w:sz w:val="30"/>
          <w:szCs w:val="30"/>
        </w:rPr>
        <w:t>*</w:t>
      </w:r>
    </w:p>
    <w:p w14:paraId="2CC3FB45" w14:textId="77777777" w:rsidR="00EA414E" w:rsidRDefault="00EA414E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</w:p>
    <w:p w14:paraId="758B4F45" w14:textId="77CF7E80" w:rsidR="00EA414E" w:rsidRDefault="00AE303E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>
        <w:rPr>
          <w:rFonts w:ascii="Helvetica" w:eastAsia="Times New Roman" w:hAnsi="Helvetica" w:cs="Times New Roman"/>
          <w:color w:val="DB4437"/>
          <w:sz w:val="30"/>
          <w:szCs w:val="30"/>
        </w:rPr>
        <w:t xml:space="preserve">It identifies prerequisites and other qualifications required for baccalaureate program.  For example, students wanting to apply to </w:t>
      </w:r>
      <w:proofErr w:type="spellStart"/>
      <w:r>
        <w:rPr>
          <w:rFonts w:ascii="Helvetica" w:eastAsia="Times New Roman" w:hAnsi="Helvetica" w:cs="Times New Roman"/>
          <w:color w:val="DB4437"/>
          <w:sz w:val="30"/>
          <w:szCs w:val="30"/>
        </w:rPr>
        <w:t>Shidler</w:t>
      </w:r>
      <w:proofErr w:type="spellEnd"/>
      <w:r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College of Business must meet two admission requirements; admissions to UH </w:t>
      </w:r>
      <w:proofErr w:type="spellStart"/>
      <w:r>
        <w:rPr>
          <w:rFonts w:ascii="Helvetica" w:eastAsia="Times New Roman" w:hAnsi="Helvetica" w:cs="Times New Roman"/>
          <w:color w:val="DB4437"/>
          <w:sz w:val="30"/>
          <w:szCs w:val="30"/>
        </w:rPr>
        <w:t>Manoa</w:t>
      </w:r>
      <w:proofErr w:type="spellEnd"/>
      <w:r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and admissions to </w:t>
      </w:r>
      <w:proofErr w:type="spellStart"/>
      <w:r>
        <w:rPr>
          <w:rFonts w:ascii="Helvetica" w:eastAsia="Times New Roman" w:hAnsi="Helvetica" w:cs="Times New Roman"/>
          <w:color w:val="DB4437"/>
          <w:sz w:val="30"/>
          <w:szCs w:val="30"/>
        </w:rPr>
        <w:t>Shilder</w:t>
      </w:r>
      <w:proofErr w:type="spellEnd"/>
      <w:r>
        <w:rPr>
          <w:rFonts w:ascii="Helvetica" w:eastAsia="Times New Roman" w:hAnsi="Helvetica" w:cs="Times New Roman"/>
          <w:color w:val="DB4437"/>
          <w:sz w:val="30"/>
          <w:szCs w:val="30"/>
        </w:rPr>
        <w:t xml:space="preserve">.  </w:t>
      </w:r>
    </w:p>
    <w:p w14:paraId="07D82C6D" w14:textId="77777777" w:rsidR="00AE303E" w:rsidRDefault="00AE303E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</w:p>
    <w:p w14:paraId="7C6CF5A9" w14:textId="114FF981" w:rsidR="0015732A" w:rsidRDefault="0015732A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>
        <w:rPr>
          <w:rFonts w:ascii="Helvetica" w:eastAsia="Times New Roman" w:hAnsi="Helvetica" w:cs="Times New Roman"/>
          <w:color w:val="DB4437"/>
          <w:sz w:val="30"/>
          <w:szCs w:val="30"/>
        </w:rPr>
        <w:t xml:space="preserve">Advising also ensures the </w:t>
      </w:r>
      <w:proofErr w:type="gramStart"/>
      <w:r>
        <w:rPr>
          <w:rFonts w:ascii="Helvetica" w:eastAsia="Times New Roman" w:hAnsi="Helvetica" w:cs="Times New Roman"/>
          <w:color w:val="DB4437"/>
          <w:sz w:val="30"/>
          <w:szCs w:val="30"/>
        </w:rPr>
        <w:t>student is following the pathway of an articulation agreement and provide</w:t>
      </w:r>
      <w:proofErr w:type="gramEnd"/>
      <w:r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updates or options when changes are made to the Memorandum of Agreement.  </w:t>
      </w:r>
    </w:p>
    <w:p w14:paraId="44238761" w14:textId="77777777" w:rsidR="001E2650" w:rsidRDefault="001E2650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</w:p>
    <w:p w14:paraId="220D72F3" w14:textId="31DFADA1" w:rsidR="00EA414E" w:rsidRDefault="001E2650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>
        <w:rPr>
          <w:rFonts w:ascii="Helvetica" w:eastAsia="Times New Roman" w:hAnsi="Helvetica" w:cs="Times New Roman"/>
          <w:color w:val="DB4437"/>
          <w:sz w:val="30"/>
          <w:szCs w:val="30"/>
        </w:rPr>
        <w:t xml:space="preserve">It also helps to project potential “road blocks” when a certain series of courses must be taken to ensure the student graduates on time.  For example, the MATH </w:t>
      </w:r>
      <w:proofErr w:type="gramStart"/>
      <w:r>
        <w:rPr>
          <w:rFonts w:ascii="Helvetica" w:eastAsia="Times New Roman" w:hAnsi="Helvetica" w:cs="Times New Roman"/>
          <w:color w:val="DB4437"/>
          <w:sz w:val="30"/>
          <w:szCs w:val="30"/>
        </w:rPr>
        <w:t>requirement for our A.S Paralegal degree is MATH 100 or PHIL 110, and let’s say</w:t>
      </w:r>
      <w:proofErr w:type="gramEnd"/>
      <w:r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the student placed in MATH 82 and completed PHIL 110 in his/her first semester.  If the student did not meet with an advisor</w:t>
      </w:r>
      <w:r w:rsidR="00BC2E23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and the intentions is</w:t>
      </w:r>
      <w:r w:rsidR="00AD5EDA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to go to </w:t>
      </w:r>
      <w:proofErr w:type="spellStart"/>
      <w:r w:rsidR="00AD5EDA">
        <w:rPr>
          <w:rFonts w:ascii="Helvetica" w:eastAsia="Times New Roman" w:hAnsi="Helvetica" w:cs="Times New Roman"/>
          <w:color w:val="DB4437"/>
          <w:sz w:val="30"/>
          <w:szCs w:val="30"/>
        </w:rPr>
        <w:t>UHM</w:t>
      </w:r>
      <w:proofErr w:type="spellEnd"/>
      <w:r>
        <w:rPr>
          <w:rFonts w:ascii="Helvetica" w:eastAsia="Times New Roman" w:hAnsi="Helvetica" w:cs="Times New Roman"/>
          <w:color w:val="DB4437"/>
          <w:sz w:val="30"/>
          <w:szCs w:val="30"/>
        </w:rPr>
        <w:t xml:space="preserve">, he/she may not </w:t>
      </w:r>
      <w:r w:rsidR="00AD5EDA">
        <w:rPr>
          <w:rFonts w:ascii="Helvetica" w:eastAsia="Times New Roman" w:hAnsi="Helvetica" w:cs="Times New Roman"/>
          <w:color w:val="DB4437"/>
          <w:sz w:val="30"/>
          <w:szCs w:val="30"/>
        </w:rPr>
        <w:t>rea</w:t>
      </w:r>
      <w:r w:rsidR="00BC2E23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lize </w:t>
      </w:r>
      <w:r w:rsidR="00EC02F2">
        <w:rPr>
          <w:rFonts w:ascii="Helvetica" w:eastAsia="Times New Roman" w:hAnsi="Helvetica" w:cs="Times New Roman"/>
          <w:color w:val="DB4437"/>
          <w:sz w:val="30"/>
          <w:szCs w:val="30"/>
        </w:rPr>
        <w:t>that Calculus is</w:t>
      </w:r>
      <w:r w:rsidR="00BC2E23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an admissions requirement and may have to spent an addition year taking only MATH courses to </w:t>
      </w:r>
      <w:proofErr w:type="spellStart"/>
      <w:r w:rsidR="00BC2E23">
        <w:rPr>
          <w:rFonts w:ascii="Helvetica" w:eastAsia="Times New Roman" w:hAnsi="Helvetica" w:cs="Times New Roman"/>
          <w:color w:val="DB4437"/>
          <w:sz w:val="30"/>
          <w:szCs w:val="30"/>
        </w:rPr>
        <w:t>fulfull</w:t>
      </w:r>
      <w:proofErr w:type="spellEnd"/>
      <w:r w:rsidR="00BC2E23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this particular admission requirement.</w:t>
      </w:r>
      <w:r w:rsidR="00EC02F2"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</w:t>
      </w:r>
      <w:r>
        <w:rPr>
          <w:rFonts w:ascii="Helvetica" w:eastAsia="Times New Roman" w:hAnsi="Helvetica" w:cs="Times New Roman"/>
          <w:color w:val="DB4437"/>
          <w:sz w:val="30"/>
          <w:szCs w:val="30"/>
        </w:rPr>
        <w:t xml:space="preserve">  </w:t>
      </w:r>
    </w:p>
    <w:p w14:paraId="7B194E4D" w14:textId="77777777" w:rsidR="00EA414E" w:rsidRPr="00EA414E" w:rsidRDefault="00EA414E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6D14C65D" w14:textId="77777777" w:rsidR="00BC2E23" w:rsidRDefault="00BC2E23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510AC58F" w14:textId="77777777" w:rsidR="00BC2E23" w:rsidRDefault="00BC2E23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2549EED2" w14:textId="77777777" w:rsidR="00BC2E23" w:rsidRDefault="00BC2E23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14DDCE32" w14:textId="77777777" w:rsidR="00EA414E" w:rsidRDefault="00EA414E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  <w:r w:rsidRPr="00EA414E">
        <w:rPr>
          <w:rFonts w:ascii="Helvetica" w:eastAsia="Times New Roman" w:hAnsi="Helvetica" w:cs="Times New Roman"/>
          <w:color w:val="000000"/>
          <w:sz w:val="30"/>
          <w:szCs w:val="30"/>
        </w:rPr>
        <w:lastRenderedPageBreak/>
        <w:t>Could you provide examples and/or evidence of the processes identified above? (</w:t>
      </w:r>
      <w:proofErr w:type="gramStart"/>
      <w:r w:rsidRPr="00EA414E">
        <w:rPr>
          <w:rFonts w:ascii="Helvetica" w:eastAsia="Times New Roman" w:hAnsi="Helvetica" w:cs="Times New Roman"/>
          <w:color w:val="000000"/>
          <w:sz w:val="30"/>
          <w:szCs w:val="30"/>
        </w:rPr>
        <w:t>i.e</w:t>
      </w:r>
      <w:proofErr w:type="gramEnd"/>
      <w:r w:rsidRPr="00EA414E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. advising sheets, transfer workshop schedules, </w:t>
      </w:r>
    </w:p>
    <w:p w14:paraId="1C3C0F23" w14:textId="77777777" w:rsidR="00EA414E" w:rsidRPr="00EA414E" w:rsidRDefault="00EA414E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  <w:proofErr w:type="spellStart"/>
      <w:proofErr w:type="gramStart"/>
      <w:r w:rsidRPr="00EA414E">
        <w:rPr>
          <w:rFonts w:ascii="Helvetica" w:eastAsia="Times New Roman" w:hAnsi="Helvetica" w:cs="Times New Roman"/>
          <w:color w:val="000000"/>
          <w:sz w:val="30"/>
          <w:szCs w:val="30"/>
        </w:rPr>
        <w:t>etc</w:t>
      </w:r>
      <w:proofErr w:type="spellEnd"/>
      <w:proofErr w:type="gramEnd"/>
      <w:r w:rsidRPr="00EA414E">
        <w:rPr>
          <w:rFonts w:ascii="Helvetica" w:eastAsia="Times New Roman" w:hAnsi="Helvetica" w:cs="Times New Roman"/>
          <w:color w:val="000000"/>
          <w:sz w:val="30"/>
          <w:szCs w:val="30"/>
        </w:rPr>
        <w:t>)</w:t>
      </w:r>
    </w:p>
    <w:p w14:paraId="471D6351" w14:textId="77777777" w:rsidR="00EA414E" w:rsidRDefault="00EA414E" w:rsidP="00EA414E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caps/>
          <w:color w:val="4285F4"/>
          <w:sz w:val="21"/>
          <w:szCs w:val="21"/>
        </w:rPr>
      </w:pPr>
    </w:p>
    <w:p w14:paraId="205BA909" w14:textId="1F80D52B" w:rsidR="00BC2E23" w:rsidRDefault="00BC2E23" w:rsidP="00BC2E23">
      <w:pPr>
        <w:shd w:val="clear" w:color="auto" w:fill="FFFFFF"/>
        <w:spacing w:line="300" w:lineRule="atLeast"/>
        <w:rPr>
          <w:rFonts w:ascii="Helvetica" w:eastAsia="Times New Roman" w:hAnsi="Helvetica" w:cs="Times New Roman"/>
          <w:caps/>
          <w:color w:val="4285F4"/>
          <w:sz w:val="21"/>
          <w:szCs w:val="21"/>
        </w:rPr>
      </w:pPr>
    </w:p>
    <w:p w14:paraId="2C7E83C7" w14:textId="2D74F606" w:rsidR="00BC2E23" w:rsidRDefault="00BC2E23" w:rsidP="00BC2E23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>
        <w:rPr>
          <w:rFonts w:ascii="Helvetica" w:eastAsia="Times New Roman" w:hAnsi="Helvetica" w:cs="Times New Roman"/>
          <w:color w:val="DB4437"/>
          <w:sz w:val="30"/>
          <w:szCs w:val="30"/>
        </w:rPr>
        <w:t xml:space="preserve">Yes, we can provide examples and evidence of the process above. </w:t>
      </w:r>
    </w:p>
    <w:p w14:paraId="4D77FDB5" w14:textId="77777777" w:rsidR="00EA414E" w:rsidRDefault="00EA414E" w:rsidP="00EA414E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caps/>
          <w:color w:val="4285F4"/>
          <w:sz w:val="21"/>
          <w:szCs w:val="21"/>
        </w:rPr>
      </w:pPr>
    </w:p>
    <w:p w14:paraId="0F4CD615" w14:textId="77777777" w:rsidR="00EA414E" w:rsidRDefault="00EA414E" w:rsidP="00EA414E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caps/>
          <w:color w:val="4285F4"/>
          <w:sz w:val="21"/>
          <w:szCs w:val="21"/>
        </w:rPr>
      </w:pPr>
    </w:p>
    <w:p w14:paraId="11BDA87E" w14:textId="77777777" w:rsidR="00EA414E" w:rsidRDefault="00EA414E" w:rsidP="00EA414E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caps/>
          <w:color w:val="4285F4"/>
          <w:sz w:val="21"/>
          <w:szCs w:val="21"/>
        </w:rPr>
      </w:pPr>
    </w:p>
    <w:p w14:paraId="33F59A7A" w14:textId="77777777" w:rsidR="00EA414E" w:rsidRDefault="00EA414E" w:rsidP="00EA414E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caps/>
          <w:color w:val="4285F4"/>
          <w:sz w:val="21"/>
          <w:szCs w:val="21"/>
        </w:rPr>
      </w:pPr>
    </w:p>
    <w:p w14:paraId="703416B4" w14:textId="77777777" w:rsidR="00EA414E" w:rsidRDefault="00EA414E" w:rsidP="00EA414E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caps/>
          <w:color w:val="4285F4"/>
          <w:sz w:val="21"/>
          <w:szCs w:val="21"/>
        </w:rPr>
      </w:pPr>
    </w:p>
    <w:p w14:paraId="1957F62C" w14:textId="77777777" w:rsidR="00EA414E" w:rsidRDefault="00EA414E" w:rsidP="00EA414E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caps/>
          <w:color w:val="4285F4"/>
          <w:sz w:val="21"/>
          <w:szCs w:val="21"/>
        </w:rPr>
      </w:pPr>
    </w:p>
    <w:p w14:paraId="5E8BB659" w14:textId="77777777" w:rsidR="00EA414E" w:rsidRDefault="00EA414E" w:rsidP="00EA414E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caps/>
          <w:color w:val="4285F4"/>
          <w:sz w:val="21"/>
          <w:szCs w:val="21"/>
        </w:rPr>
      </w:pPr>
    </w:p>
    <w:p w14:paraId="30DF4F4C" w14:textId="77777777" w:rsidR="00EA414E" w:rsidRDefault="00EA414E" w:rsidP="00EA414E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caps/>
          <w:color w:val="4285F4"/>
          <w:sz w:val="21"/>
          <w:szCs w:val="21"/>
        </w:rPr>
      </w:pPr>
    </w:p>
    <w:p w14:paraId="01F1DDB8" w14:textId="77777777" w:rsidR="00EA414E" w:rsidRPr="00EA414E" w:rsidRDefault="00EA414E" w:rsidP="00EA414E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caps/>
          <w:color w:val="4285F4"/>
          <w:sz w:val="21"/>
          <w:szCs w:val="21"/>
        </w:rPr>
      </w:pPr>
    </w:p>
    <w:p w14:paraId="36D39DC8" w14:textId="77777777" w:rsidR="00EA414E" w:rsidRPr="00EA414E" w:rsidRDefault="00EA414E" w:rsidP="00EA414E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  <w:r w:rsidRPr="00EA414E">
        <w:rPr>
          <w:rFonts w:ascii="Helvetica" w:eastAsia="Times New Roman" w:hAnsi="Helvetica" w:cs="Times New Roman"/>
          <w:color w:val="000000"/>
          <w:sz w:val="30"/>
          <w:szCs w:val="30"/>
        </w:rPr>
        <w:t>Any other information you would like to add pertaining to this standard?</w:t>
      </w:r>
    </w:p>
    <w:p w14:paraId="0CE98DA1" w14:textId="7B68C0F4" w:rsidR="00BC2E23" w:rsidRDefault="00BC2E23" w:rsidP="00BC2E23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</w:p>
    <w:p w14:paraId="115D0498" w14:textId="76EB06BE" w:rsidR="00BC2E23" w:rsidRDefault="00BC2E23" w:rsidP="00BC2E23">
      <w:pPr>
        <w:shd w:val="clear" w:color="auto" w:fill="FFFFFF"/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>
        <w:rPr>
          <w:rFonts w:ascii="Helvetica" w:eastAsia="Times New Roman" w:hAnsi="Helvetica" w:cs="Times New Roman"/>
          <w:color w:val="DB4437"/>
          <w:sz w:val="30"/>
          <w:szCs w:val="30"/>
        </w:rPr>
        <w:t xml:space="preserve">N/A </w:t>
      </w:r>
    </w:p>
    <w:p w14:paraId="7B0F1A58" w14:textId="65733FA2" w:rsidR="00BC2E23" w:rsidRDefault="00BC2E23"/>
    <w:sectPr w:rsidR="00BC2E23" w:rsidSect="00A15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0016"/>
    <w:multiLevelType w:val="hybridMultilevel"/>
    <w:tmpl w:val="FD94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4E"/>
    <w:rsid w:val="0001529D"/>
    <w:rsid w:val="0015732A"/>
    <w:rsid w:val="001E2650"/>
    <w:rsid w:val="00347DAE"/>
    <w:rsid w:val="003E4122"/>
    <w:rsid w:val="0048152F"/>
    <w:rsid w:val="005E41AE"/>
    <w:rsid w:val="006E0C84"/>
    <w:rsid w:val="00897CF8"/>
    <w:rsid w:val="00982213"/>
    <w:rsid w:val="009D2FD7"/>
    <w:rsid w:val="009D3E32"/>
    <w:rsid w:val="00A15920"/>
    <w:rsid w:val="00A4345C"/>
    <w:rsid w:val="00AC465A"/>
    <w:rsid w:val="00AD5EDA"/>
    <w:rsid w:val="00AE230C"/>
    <w:rsid w:val="00AE303E"/>
    <w:rsid w:val="00BC2E23"/>
    <w:rsid w:val="00CF4F1B"/>
    <w:rsid w:val="00D41149"/>
    <w:rsid w:val="00EA414E"/>
    <w:rsid w:val="00EC02F2"/>
    <w:rsid w:val="00F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1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14E"/>
  </w:style>
  <w:style w:type="character" w:customStyle="1" w:styleId="freebirdformviewerviewitemsitemrequiredasterisk">
    <w:name w:val="freebirdformviewerviewitemsitemrequiredasterisk"/>
    <w:basedOn w:val="DefaultParagraphFont"/>
    <w:rsid w:val="00EA414E"/>
  </w:style>
  <w:style w:type="character" w:customStyle="1" w:styleId="quantumwizbuttonpaperbuttonlabel">
    <w:name w:val="quantumwizbuttonpaperbuttonlabel"/>
    <w:basedOn w:val="DefaultParagraphFont"/>
    <w:rsid w:val="00EA414E"/>
  </w:style>
  <w:style w:type="paragraph" w:styleId="ListParagraph">
    <w:name w:val="List Paragraph"/>
    <w:basedOn w:val="Normal"/>
    <w:uiPriority w:val="34"/>
    <w:qFormat/>
    <w:rsid w:val="00D41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14E"/>
  </w:style>
  <w:style w:type="character" w:customStyle="1" w:styleId="freebirdformviewerviewitemsitemrequiredasterisk">
    <w:name w:val="freebirdformviewerviewitemsitemrequiredasterisk"/>
    <w:basedOn w:val="DefaultParagraphFont"/>
    <w:rsid w:val="00EA414E"/>
  </w:style>
  <w:style w:type="character" w:customStyle="1" w:styleId="quantumwizbuttonpaperbuttonlabel">
    <w:name w:val="quantumwizbuttonpaperbuttonlabel"/>
    <w:basedOn w:val="DefaultParagraphFont"/>
    <w:rsid w:val="00EA414E"/>
  </w:style>
  <w:style w:type="paragraph" w:styleId="ListParagraph">
    <w:name w:val="List Paragraph"/>
    <w:basedOn w:val="Normal"/>
    <w:uiPriority w:val="34"/>
    <w:qFormat/>
    <w:rsid w:val="00D4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6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4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1701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4509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545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Cheri</cp:lastModifiedBy>
  <cp:revision>2</cp:revision>
  <dcterms:created xsi:type="dcterms:W3CDTF">2016-11-29T01:58:00Z</dcterms:created>
  <dcterms:modified xsi:type="dcterms:W3CDTF">2016-11-29T01:58:00Z</dcterms:modified>
</cp:coreProperties>
</file>