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3F" w:rsidRDefault="00052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Placement Advisory Council</w:t>
      </w:r>
    </w:p>
    <w:p w:rsidR="002E5203" w:rsidRDefault="00052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Placement Retest Policy Update</w:t>
      </w:r>
    </w:p>
    <w:p w:rsidR="00052E3F" w:rsidRDefault="00052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17, 2011</w:t>
      </w:r>
    </w:p>
    <w:p w:rsidR="00052E3F" w:rsidRDefault="00052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Dole St. Conference Room</w:t>
      </w:r>
    </w:p>
    <w:p w:rsidR="00052E3F" w:rsidRDefault="00052E3F">
      <w:pPr>
        <w:rPr>
          <w:rFonts w:ascii="Times New Roman" w:hAnsi="Times New Roman" w:cs="Times New Roman"/>
          <w:sz w:val="24"/>
          <w:szCs w:val="24"/>
        </w:rPr>
      </w:pPr>
    </w:p>
    <w:p w:rsidR="00052E3F" w:rsidRDefault="00052E3F" w:rsidP="00052E3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52E3F" w:rsidRDefault="00052E3F" w:rsidP="00052E3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Guy Nishimoto, Institutional Effectiveness Officer, at LeeCC conducted a follow up research project on the Placement Retest Policy</w:t>
      </w:r>
      <w:r w:rsidR="002D29EE">
        <w:rPr>
          <w:rFonts w:ascii="Times New Roman" w:hAnsi="Times New Roman" w:cs="Times New Roman"/>
          <w:sz w:val="24"/>
          <w:szCs w:val="24"/>
        </w:rPr>
        <w:t xml:space="preserve"> after its implementation in July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E3F" w:rsidRDefault="00052E3F" w:rsidP="00052E3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D0FB2" w:rsidRDefault="002D0FB2" w:rsidP="00052E3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research questions were asked:</w:t>
      </w:r>
    </w:p>
    <w:p w:rsidR="002D0FB2" w:rsidRDefault="002D0FB2" w:rsidP="002D0FB2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the testing centers be overwhelmed with re-test requests?</w:t>
      </w:r>
    </w:p>
    <w:p w:rsidR="00052E3F" w:rsidRPr="002D29EE" w:rsidRDefault="0022270E" w:rsidP="00052E3F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 the retested students do if they enroll in the higher level course?</w:t>
      </w:r>
    </w:p>
    <w:p w:rsidR="00052E3F" w:rsidRDefault="00052E3F" w:rsidP="00052E3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52E3F" w:rsidRDefault="00052E3F" w:rsidP="00052E3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data: August 22, 2009 to January 15, 2011</w:t>
      </w:r>
    </w:p>
    <w:p w:rsidR="00052E3F" w:rsidRDefault="00052E3F" w:rsidP="00052E3F">
      <w:pPr>
        <w:rPr>
          <w:rFonts w:ascii="Times New Roman" w:hAnsi="Times New Roman" w:cs="Times New Roman"/>
          <w:sz w:val="24"/>
          <w:szCs w:val="24"/>
        </w:rPr>
      </w:pPr>
    </w:p>
    <w:p w:rsidR="00052E3F" w:rsidRDefault="00052E3F" w:rsidP="002D2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</w:t>
      </w:r>
    </w:p>
    <w:tbl>
      <w:tblPr>
        <w:tblStyle w:val="TableGrid"/>
        <w:tblW w:w="10098" w:type="dxa"/>
        <w:tblLook w:val="04A0"/>
      </w:tblPr>
      <w:tblGrid>
        <w:gridCol w:w="1915"/>
        <w:gridCol w:w="1915"/>
        <w:gridCol w:w="1915"/>
        <w:gridCol w:w="4353"/>
      </w:tblGrid>
      <w:tr w:rsidR="002D29EE">
        <w:tc>
          <w:tcPr>
            <w:tcW w:w="1915" w:type="dxa"/>
          </w:tcPr>
          <w:p w:rsidR="002D29EE" w:rsidRDefault="002D29EE" w:rsidP="00052E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Campus</w:t>
            </w:r>
          </w:p>
        </w:tc>
        <w:tc>
          <w:tcPr>
            <w:tcW w:w="1915" w:type="dxa"/>
          </w:tcPr>
          <w:p w:rsidR="002D29EE" w:rsidRDefault="002D29EE" w:rsidP="00052E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retests</w:t>
            </w:r>
          </w:p>
        </w:tc>
        <w:tc>
          <w:tcPr>
            <w:tcW w:w="1915" w:type="dxa"/>
          </w:tcPr>
          <w:p w:rsidR="002D29EE" w:rsidRDefault="002D29EE" w:rsidP="00052E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of retests</w:t>
            </w:r>
          </w:p>
        </w:tc>
        <w:tc>
          <w:tcPr>
            <w:tcW w:w="4353" w:type="dxa"/>
          </w:tcPr>
          <w:p w:rsidR="002D29EE" w:rsidRDefault="002D29EE" w:rsidP="00052E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of Success (C or better) at next level</w:t>
            </w:r>
          </w:p>
        </w:tc>
      </w:tr>
      <w:tr w:rsidR="002D29EE">
        <w:tc>
          <w:tcPr>
            <w:tcW w:w="1915" w:type="dxa"/>
          </w:tcPr>
          <w:p w:rsidR="002D29EE" w:rsidRDefault="002D29EE" w:rsidP="00052E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KapCC</w:t>
            </w:r>
          </w:p>
        </w:tc>
        <w:tc>
          <w:tcPr>
            <w:tcW w:w="1915" w:type="dxa"/>
          </w:tcPr>
          <w:p w:rsidR="002D29EE" w:rsidRDefault="002D29EE" w:rsidP="00052E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915" w:type="dxa"/>
          </w:tcPr>
          <w:p w:rsidR="002D29EE" w:rsidRDefault="002D29EE" w:rsidP="00052E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3.4%</w:t>
            </w:r>
          </w:p>
        </w:tc>
        <w:tc>
          <w:tcPr>
            <w:tcW w:w="4353" w:type="dxa"/>
          </w:tcPr>
          <w:p w:rsidR="002D29EE" w:rsidRDefault="002D29EE" w:rsidP="00052E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66.7%</w:t>
            </w:r>
          </w:p>
        </w:tc>
      </w:tr>
      <w:tr w:rsidR="002D29EE">
        <w:tc>
          <w:tcPr>
            <w:tcW w:w="1915" w:type="dxa"/>
          </w:tcPr>
          <w:p w:rsidR="002D29EE" w:rsidRDefault="002D29EE" w:rsidP="00052E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LeeCC</w:t>
            </w:r>
          </w:p>
        </w:tc>
        <w:tc>
          <w:tcPr>
            <w:tcW w:w="1915" w:type="dxa"/>
          </w:tcPr>
          <w:p w:rsidR="002D29EE" w:rsidRDefault="002D29EE" w:rsidP="00052E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915" w:type="dxa"/>
          </w:tcPr>
          <w:p w:rsidR="002D29EE" w:rsidRDefault="002D29EE" w:rsidP="00052E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5.2%</w:t>
            </w:r>
          </w:p>
        </w:tc>
        <w:tc>
          <w:tcPr>
            <w:tcW w:w="4353" w:type="dxa"/>
          </w:tcPr>
          <w:p w:rsidR="002D29EE" w:rsidRDefault="002D29EE" w:rsidP="00052E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67.7%</w:t>
            </w:r>
          </w:p>
        </w:tc>
      </w:tr>
    </w:tbl>
    <w:p w:rsidR="00052E3F" w:rsidRDefault="00052E3F" w:rsidP="00052E3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52E3F" w:rsidRDefault="002D29EE" w:rsidP="002D2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</w:t>
      </w:r>
    </w:p>
    <w:tbl>
      <w:tblPr>
        <w:tblStyle w:val="TableGrid"/>
        <w:tblW w:w="10098" w:type="dxa"/>
        <w:tblLook w:val="04A0"/>
      </w:tblPr>
      <w:tblGrid>
        <w:gridCol w:w="1915"/>
        <w:gridCol w:w="1915"/>
        <w:gridCol w:w="1915"/>
        <w:gridCol w:w="4353"/>
      </w:tblGrid>
      <w:tr w:rsidR="002D29EE">
        <w:tc>
          <w:tcPr>
            <w:tcW w:w="1915" w:type="dxa"/>
          </w:tcPr>
          <w:p w:rsidR="002D29EE" w:rsidRDefault="002D29EE" w:rsidP="008E2E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Campus</w:t>
            </w:r>
          </w:p>
        </w:tc>
        <w:tc>
          <w:tcPr>
            <w:tcW w:w="1915" w:type="dxa"/>
          </w:tcPr>
          <w:p w:rsidR="002D29EE" w:rsidRDefault="002D29EE" w:rsidP="008E2E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retests</w:t>
            </w:r>
          </w:p>
        </w:tc>
        <w:tc>
          <w:tcPr>
            <w:tcW w:w="1915" w:type="dxa"/>
          </w:tcPr>
          <w:p w:rsidR="002D29EE" w:rsidRDefault="002D29EE" w:rsidP="008E2E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of retests</w:t>
            </w:r>
          </w:p>
        </w:tc>
        <w:tc>
          <w:tcPr>
            <w:tcW w:w="4353" w:type="dxa"/>
          </w:tcPr>
          <w:p w:rsidR="002D29EE" w:rsidRDefault="002D29EE" w:rsidP="008E2E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 of Success (C or better) at next level</w:t>
            </w:r>
          </w:p>
        </w:tc>
      </w:tr>
      <w:tr w:rsidR="002D29EE">
        <w:tc>
          <w:tcPr>
            <w:tcW w:w="1915" w:type="dxa"/>
          </w:tcPr>
          <w:p w:rsidR="002D29EE" w:rsidRDefault="002D29EE" w:rsidP="002D0F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KapCC</w:t>
            </w:r>
          </w:p>
        </w:tc>
        <w:tc>
          <w:tcPr>
            <w:tcW w:w="1915" w:type="dxa"/>
          </w:tcPr>
          <w:p w:rsidR="002D29EE" w:rsidRDefault="002D29EE" w:rsidP="002D0F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915" w:type="dxa"/>
          </w:tcPr>
          <w:p w:rsidR="002D29EE" w:rsidRDefault="002D29EE" w:rsidP="002D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4.5%</w:t>
            </w:r>
          </w:p>
        </w:tc>
        <w:tc>
          <w:tcPr>
            <w:tcW w:w="4353" w:type="dxa"/>
          </w:tcPr>
          <w:p w:rsidR="002D29EE" w:rsidRDefault="002D29EE" w:rsidP="002D0F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  <w:tr w:rsidR="002D29EE">
        <w:tc>
          <w:tcPr>
            <w:tcW w:w="1915" w:type="dxa"/>
          </w:tcPr>
          <w:p w:rsidR="002D29EE" w:rsidRDefault="002D29EE" w:rsidP="002D0F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LeeCC</w:t>
            </w:r>
          </w:p>
        </w:tc>
        <w:tc>
          <w:tcPr>
            <w:tcW w:w="1915" w:type="dxa"/>
          </w:tcPr>
          <w:p w:rsidR="002D29EE" w:rsidRDefault="002D29EE" w:rsidP="002D0F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915" w:type="dxa"/>
          </w:tcPr>
          <w:p w:rsidR="002D29EE" w:rsidRDefault="002D29EE" w:rsidP="002D0F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3.2%</w:t>
            </w:r>
          </w:p>
        </w:tc>
        <w:tc>
          <w:tcPr>
            <w:tcW w:w="4353" w:type="dxa"/>
          </w:tcPr>
          <w:p w:rsidR="002D29EE" w:rsidRDefault="002D29EE" w:rsidP="002D0F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87.5%</w:t>
            </w:r>
          </w:p>
        </w:tc>
      </w:tr>
    </w:tbl>
    <w:p w:rsidR="00052E3F" w:rsidRDefault="00052E3F">
      <w:pPr>
        <w:rPr>
          <w:rFonts w:ascii="Times New Roman" w:hAnsi="Times New Roman" w:cs="Times New Roman"/>
          <w:sz w:val="24"/>
          <w:szCs w:val="24"/>
        </w:rPr>
      </w:pPr>
    </w:p>
    <w:p w:rsidR="00052E3F" w:rsidRDefault="00052E3F">
      <w:pPr>
        <w:rPr>
          <w:rFonts w:ascii="Times New Roman" w:hAnsi="Times New Roman" w:cs="Times New Roman"/>
          <w:sz w:val="24"/>
          <w:szCs w:val="24"/>
        </w:rPr>
      </w:pPr>
    </w:p>
    <w:p w:rsidR="00052E3F" w:rsidRDefault="00052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</w:t>
      </w:r>
    </w:p>
    <w:tbl>
      <w:tblPr>
        <w:tblStyle w:val="TableGrid"/>
        <w:tblW w:w="10098" w:type="dxa"/>
        <w:tblLook w:val="04A0"/>
      </w:tblPr>
      <w:tblGrid>
        <w:gridCol w:w="1915"/>
        <w:gridCol w:w="1915"/>
        <w:gridCol w:w="1915"/>
        <w:gridCol w:w="4353"/>
      </w:tblGrid>
      <w:tr w:rsidR="002D29EE">
        <w:tc>
          <w:tcPr>
            <w:tcW w:w="1915" w:type="dxa"/>
          </w:tcPr>
          <w:p w:rsidR="002D29EE" w:rsidRDefault="002D29EE" w:rsidP="008E2E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Campus</w:t>
            </w:r>
          </w:p>
        </w:tc>
        <w:tc>
          <w:tcPr>
            <w:tcW w:w="1915" w:type="dxa"/>
          </w:tcPr>
          <w:p w:rsidR="002D29EE" w:rsidRDefault="002D29EE" w:rsidP="008E2E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retests</w:t>
            </w:r>
          </w:p>
        </w:tc>
        <w:tc>
          <w:tcPr>
            <w:tcW w:w="1915" w:type="dxa"/>
          </w:tcPr>
          <w:p w:rsidR="002D29EE" w:rsidRDefault="002D29EE" w:rsidP="008E2E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of retests</w:t>
            </w:r>
          </w:p>
        </w:tc>
        <w:tc>
          <w:tcPr>
            <w:tcW w:w="4353" w:type="dxa"/>
          </w:tcPr>
          <w:p w:rsidR="002D29EE" w:rsidRDefault="002D29EE" w:rsidP="008E2E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of Success (C or better) at next level</w:t>
            </w:r>
          </w:p>
        </w:tc>
      </w:tr>
      <w:tr w:rsidR="002D29EE">
        <w:tc>
          <w:tcPr>
            <w:tcW w:w="1915" w:type="dxa"/>
          </w:tcPr>
          <w:p w:rsidR="002D29EE" w:rsidRDefault="002D29EE" w:rsidP="002D0F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KapCC</w:t>
            </w:r>
          </w:p>
        </w:tc>
        <w:tc>
          <w:tcPr>
            <w:tcW w:w="1915" w:type="dxa"/>
          </w:tcPr>
          <w:p w:rsidR="002D29EE" w:rsidRDefault="002D29EE" w:rsidP="002D0F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1915" w:type="dxa"/>
          </w:tcPr>
          <w:p w:rsidR="002D29EE" w:rsidRDefault="002D29EE" w:rsidP="002D0F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13.3%</w:t>
            </w:r>
          </w:p>
        </w:tc>
        <w:tc>
          <w:tcPr>
            <w:tcW w:w="4353" w:type="dxa"/>
          </w:tcPr>
          <w:p w:rsidR="002D29EE" w:rsidRDefault="002D29EE" w:rsidP="002D0F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56.3%</w:t>
            </w:r>
          </w:p>
        </w:tc>
      </w:tr>
      <w:tr w:rsidR="002D29EE">
        <w:tc>
          <w:tcPr>
            <w:tcW w:w="1915" w:type="dxa"/>
          </w:tcPr>
          <w:p w:rsidR="002D29EE" w:rsidRDefault="002D29EE" w:rsidP="002D0F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LeeCC</w:t>
            </w:r>
          </w:p>
        </w:tc>
        <w:tc>
          <w:tcPr>
            <w:tcW w:w="1915" w:type="dxa"/>
          </w:tcPr>
          <w:p w:rsidR="002D29EE" w:rsidRDefault="002D29EE" w:rsidP="002D0F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915" w:type="dxa"/>
          </w:tcPr>
          <w:p w:rsidR="002D29EE" w:rsidRDefault="002D29EE" w:rsidP="002D0F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3.6%</w:t>
            </w:r>
          </w:p>
        </w:tc>
        <w:tc>
          <w:tcPr>
            <w:tcW w:w="4353" w:type="dxa"/>
          </w:tcPr>
          <w:p w:rsidR="002D29EE" w:rsidRDefault="002D29EE" w:rsidP="002D0F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63.2%</w:t>
            </w:r>
          </w:p>
        </w:tc>
      </w:tr>
    </w:tbl>
    <w:p w:rsidR="002D0FB2" w:rsidRDefault="002D0FB2" w:rsidP="002D0FB2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0FB2">
        <w:rPr>
          <w:rFonts w:ascii="Times New Roman" w:hAnsi="Times New Roman" w:cs="Times New Roman"/>
          <w:sz w:val="24"/>
          <w:szCs w:val="24"/>
        </w:rPr>
        <w:t>.</w:t>
      </w:r>
    </w:p>
    <w:p w:rsidR="0022270E" w:rsidRDefault="0022270E" w:rsidP="002D0FB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D29EE" w:rsidRDefault="002D29EE" w:rsidP="002D0FB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Results: </w:t>
      </w:r>
    </w:p>
    <w:p w:rsidR="0022270E" w:rsidRDefault="0022270E" w:rsidP="002D0FB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Question1: No, the testing centers will not be overwhelmed with requests to retest.</w:t>
      </w:r>
      <w:r w:rsidR="002D29EE">
        <w:rPr>
          <w:rFonts w:ascii="Times New Roman" w:hAnsi="Times New Roman" w:cs="Times New Roman"/>
          <w:sz w:val="24"/>
          <w:szCs w:val="24"/>
        </w:rPr>
        <w:t xml:space="preserve"> The number of students requesting retests and the percentage did not differ much from the August 22, 2009 to October 2, 2010 data.</w:t>
      </w:r>
    </w:p>
    <w:p w:rsidR="002D29EE" w:rsidRDefault="002D29EE" w:rsidP="002D0FB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2270E" w:rsidRDefault="0022270E" w:rsidP="002D0FB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2: Retested students do just as well or even better than their classmates in the higher level course.</w:t>
      </w:r>
    </w:p>
    <w:p w:rsidR="0022270E" w:rsidRDefault="0022270E" w:rsidP="002D0FB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D29EE" w:rsidRDefault="002D29EE" w:rsidP="002D0FB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Conclusion: </w:t>
      </w:r>
    </w:p>
    <w:p w:rsidR="002D29EE" w:rsidRDefault="002D29EE" w:rsidP="002D0FB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retest policy should continue to be in place. The next update will be presented in fall 2011.</w:t>
      </w:r>
    </w:p>
    <w:p w:rsidR="002D29EE" w:rsidRPr="002D0FB2" w:rsidRDefault="002D29EE" w:rsidP="002D0FB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2270E" w:rsidRPr="002D0FB2" w:rsidRDefault="0022270E" w:rsidP="002D0FB2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sectPr w:rsidR="0022270E" w:rsidRPr="002D0FB2" w:rsidSect="007B5B9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Arial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0615"/>
    <w:multiLevelType w:val="hybridMultilevel"/>
    <w:tmpl w:val="9412F57C"/>
    <w:lvl w:ilvl="0" w:tplc="8C8660CA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55D43"/>
    <w:multiLevelType w:val="hybridMultilevel"/>
    <w:tmpl w:val="DCBC9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052E3F"/>
    <w:rsid w:val="00052E3F"/>
    <w:rsid w:val="0022270E"/>
    <w:rsid w:val="002D0FB2"/>
    <w:rsid w:val="002D29EE"/>
    <w:rsid w:val="002E5203"/>
    <w:rsid w:val="007B5B91"/>
    <w:rsid w:val="00C06DD6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B9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52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Louise Pagotto</cp:lastModifiedBy>
  <cp:revision>2</cp:revision>
  <dcterms:created xsi:type="dcterms:W3CDTF">2011-06-03T02:05:00Z</dcterms:created>
  <dcterms:modified xsi:type="dcterms:W3CDTF">2011-06-03T02:05:00Z</dcterms:modified>
</cp:coreProperties>
</file>